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footnotes.xml" ContentType="application/vnd.openxmlformats-officedocument.wordprocessingml.footnotes+xml"/>
  <Override PartName="/word/styles.xml" ContentType="application/vnd.openxmlformats-officedocument.wordprocessingml.styl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pacing w:after="0" w:line="240" w:lineRule="auto"/>
        <w:ind w:firstLine="0"/>
        <w:jc w:val="center"/>
        <w:rPr>
          <w:rFonts w:eastAsiaTheme="minorEastAsia"/>
          <w:b/>
          <w:sz w:val="34"/>
          <w:szCs w:val="28"/>
          <w:lang w:val="en-US"/>
        </w:rPr>
      </w:pPr>
      <w:r>
        <w:rPr>
          <w:rFonts w:eastAsiaTheme="minorEastAsia"/>
          <w:b/>
          <w:sz w:val="34"/>
          <w:szCs w:val="28"/>
        </w:rPr>
      </w:r>
      <w:r>
        <w:rPr>
          <w:rFonts w:ascii="PT Astra Serif" w:hAnsi="PT Astra Serif" w:eastAsia="PT Astra Serif" w:cs="PT Astra Serif"/>
          <w:b/>
          <w:sz w:val="3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46760" cy="906780"/>
                <wp:effectExtent l="0" t="0" r="0" b="0"/>
                <wp:docPr id="1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69484299" name=""/>
                        <pic:cNvPicPr/>
                        <pic:nvPr/>
                      </pic:nvPicPr>
                      <pic:blipFill>
                        <a:blip r:embed="rId16">
                          <a:extLst>
                            <a:ext uri="{96DAC541-7B7A-43D3-8B79-37D633B846F1}">
                              <asvg:svgBlip xmlns:asvg="http://schemas.microsoft.com/office/drawing/2016/SVG/main" r:embed="rId17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746758" cy="9067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8.80pt;height:71.40pt;mso-wrap-distance-left:0.00pt;mso-wrap-distance-top:0.00pt;mso-wrap-distance-right:0.00pt;mso-wrap-distance-bottom:0.00pt;rotation:0;" stroked="f">
                <v:path textboxrect="0,0,0,0"/>
                <v:imagedata r:id="rId16" o:title=""/>
              </v:shape>
            </w:pict>
          </mc:Fallback>
        </mc:AlternateContent>
      </w:r>
      <w:r>
        <w:rPr>
          <w:rFonts w:eastAsiaTheme="minorEastAsia"/>
          <w:b/>
          <w:sz w:val="34"/>
          <w:szCs w:val="28"/>
          <w:lang w:val="en-US"/>
        </w:rPr>
      </w:r>
      <w:r>
        <w:rPr>
          <w:rFonts w:eastAsiaTheme="minorEastAsia"/>
          <w:b/>
          <w:sz w:val="34"/>
          <w:szCs w:val="28"/>
          <w:lang w:val="en-US"/>
        </w:rPr>
      </w:r>
    </w:p>
    <w:p>
      <w:p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16"/>
          <w:szCs w:val="28"/>
        </w:rPr>
      </w:pPr>
      <w:r>
        <w:rPr>
          <w:rFonts w:ascii="Times New Roman" w:hAnsi="Times New Roman" w:eastAsia="Times New Roman" w:cs="Times New Roman" w:eastAsiaTheme="minorEastAsia"/>
          <w:b/>
          <w:sz w:val="16"/>
          <w:szCs w:val="28"/>
          <w:lang w:val="en-US"/>
        </w:rPr>
      </w:r>
      <w:r>
        <w:rPr>
          <w:rFonts w:ascii="Times New Roman" w:hAnsi="Times New Roman" w:cs="Times New Roman"/>
          <w:b/>
          <w:sz w:val="16"/>
          <w:szCs w:val="28"/>
        </w:rPr>
      </w:r>
      <w:r>
        <w:rPr>
          <w:rFonts w:ascii="Times New Roman" w:hAnsi="Times New Roman" w:cs="Times New Roman"/>
          <w:b/>
          <w:sz w:val="16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t xml:space="preserve">ЦЕНТРАЛЬНАЯ ИЗБИРАТЕЛЬНАЯ КОМИССИЯ</w:t>
      </w: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br/>
        <w:t xml:space="preserve">РОССИЙСКОЙ ФЕДЕРАЦИИ</w:t>
      </w:r>
      <w:r>
        <w:rPr>
          <w:rFonts w:ascii="PT Astra Serif" w:hAnsi="PT Astra Serif" w:cs="PT Astra Serif"/>
          <w:b/>
          <w:sz w:val="34"/>
          <w:szCs w:val="28"/>
        </w:rPr>
      </w:r>
      <w:r>
        <w:rPr>
          <w:rFonts w:ascii="PT Astra Serif" w:hAnsi="PT Astra Serif" w:cs="PT Astra Serif"/>
          <w:b/>
          <w:sz w:val="34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szCs w:val="28"/>
        </w:rPr>
      </w:pPr>
      <w:r>
        <w:rPr>
          <w:rFonts w:ascii="PT Astra Serif" w:hAnsi="PT Astra Serif" w:eastAsia="PT Astra Serif" w:cs="PT Astra Serif" w:eastAsiaTheme="minorEastAsia"/>
          <w:sz w:val="28"/>
          <w:szCs w:val="28"/>
        </w:rPr>
      </w:r>
      <w:r>
        <w:rPr>
          <w:rFonts w:ascii="PT Astra Serif" w:hAnsi="PT Astra Serif" w:cs="PT Astra Serif"/>
          <w:szCs w:val="28"/>
        </w:rPr>
      </w:r>
      <w:r>
        <w:rPr>
          <w:rFonts w:ascii="PT Astra Serif" w:hAnsi="PT Astra Serif" w:cs="PT Astra Serif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pacing w:val="60"/>
          <w:sz w:val="32"/>
          <w:szCs w:val="28"/>
        </w:rPr>
        <w:t xml:space="preserve">ПОСТАНОВЛЕНИЕ</w:t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</w:p>
    <w:p>
      <w:pPr>
        <w:spacing w:after="0"/>
        <w:ind w:firstLine="0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 w:eastAsiaTheme="minorEastAsia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3107"/>
        <w:gridCol w:w="3107"/>
        <w:gridCol w:w="3107"/>
      </w:tblGrid>
      <w:tr>
        <w:trPr>
          <w:trHeight w:val="287"/>
        </w:trPr>
        <w:tblPrEx/>
        <w:tc>
          <w:tcPr>
            <w:tcW w:w="3107" w:type="dxa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noWrap w:val="false"/>
            <w:textDirection w:val="lrTb"/>
          </w:tcPr>
          <w:p>
            <w:pPr>
              <w:spacing w:after="0"/>
              <w:ind w:firstLine="0"/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15 апреля 2026 г.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noWrap w:val="false"/>
            <w:textDirection w:val="lrTb"/>
          </w:tcPr>
          <w:p>
            <w:pPr>
              <w:spacing w:after="0"/>
              <w:ind w:firstLine="0"/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№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noWrap w:val="false"/>
            <w:textDirection w:val="lrTb"/>
          </w:tcPr>
          <w:p>
            <w:pPr>
              <w:spacing w:after="0"/>
              <w:ind w:firstLine="0"/>
              <w:jc w:val="lef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3/29-9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</w:tr>
    </w:tbl>
    <w:p>
      <w:pPr>
        <w:spacing w:after="0"/>
        <w:ind w:firstLine="0"/>
        <w:jc w:val="center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22"/>
          <w:szCs w:val="24"/>
        </w:rPr>
        <w:t xml:space="preserve">Москва</w:t>
      </w:r>
      <w:r>
        <w:rPr>
          <w:rFonts w:ascii="PT Astra Serif" w:hAnsi="PT Astra Serif" w:cs="PT Astra Serif"/>
          <w:b/>
          <w:sz w:val="24"/>
          <w:szCs w:val="28"/>
        </w:rPr>
      </w:r>
      <w:r>
        <w:rPr>
          <w:rFonts w:ascii="PT Astra Serif" w:hAnsi="PT Astra Serif" w:cs="PT Astra Serif"/>
          <w:b/>
          <w:sz w:val="24"/>
          <w:szCs w:val="28"/>
        </w:rPr>
      </w:r>
    </w:p>
    <w:p>
      <w:pPr>
        <w:spacing w:after="0"/>
        <w:ind w:firstLine="0"/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hAnsi="PT Astra Serif" w:eastAsia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</w:p>
    <w:p>
      <w:pPr>
        <w:contextualSpacing w:val="0"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О видеонаблюдении при проведении выборов депутатов Государственной Думы Федерального Собрания Российской </w:t>
      </w:r>
      <w:r>
        <w:rPr>
          <w:rFonts w:ascii="PT Astra Serif" w:hAnsi="PT Astra Serif"/>
          <w:b/>
          <w:sz w:val="28"/>
          <w:szCs w:val="28"/>
        </w:rPr>
        <w:br/>
        <w:t xml:space="preserve">Федерации девятого созыва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contextualSpacing w:val="0"/>
        <w:jc w:val="center"/>
        <w:rPr>
          <w:rFonts w:ascii="PT Astra Serif" w:hAnsi="PT Astra Serif"/>
          <w:b/>
          <w:bCs/>
          <w:sz w:val="18"/>
          <w:szCs w:val="18"/>
          <w:highlight w:val="none"/>
        </w:rPr>
      </w:pPr>
      <w:r>
        <w:rPr>
          <w:rFonts w:ascii="PT Astra Serif" w:hAnsi="PT Astra Serif"/>
          <w:b/>
          <w:sz w:val="18"/>
          <w:szCs w:val="18"/>
          <w:highlight w:val="none"/>
        </w:rPr>
      </w:r>
      <w:r>
        <w:rPr>
          <w:rFonts w:ascii="PT Astra Serif" w:hAnsi="PT Astra Serif"/>
          <w:b/>
          <w:bCs/>
          <w:sz w:val="18"/>
          <w:szCs w:val="18"/>
          <w:highlight w:val="none"/>
        </w:rPr>
      </w:r>
    </w:p>
    <w:p>
      <w:pPr>
        <w:suppressLineNumbers w:val="0"/>
        <w:spacing w:after="0" w:afterAutospacing="0" w:line="348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целях обеспечения открытости в деятельности избирательных комиссий, руководствуясь частью 15 статьи 78, частью 18 статьи 86 </w:t>
      </w:r>
      <w:r>
        <w:rPr>
          <w:rFonts w:ascii="PT Astra Serif" w:hAnsi="PT Astra Serif"/>
          <w:sz w:val="28"/>
          <w:szCs w:val="28"/>
        </w:rPr>
        <w:br/>
        <w:t xml:space="preserve">Федерального закона «О выборах депутатов Государственной Думы Федерального Собрания Российской Федерации», Центральная избиратель</w:t>
      </w:r>
      <w:r>
        <w:rPr>
          <w:rFonts w:ascii="PT Astra Serif" w:hAnsi="PT Astra Serif"/>
          <w:sz w:val="28"/>
          <w:szCs w:val="28"/>
        </w:rPr>
        <w:t xml:space="preserve">ная комиссия Российской Федерации  </w:t>
      </w:r>
      <w:r>
        <w:rPr>
          <w:rFonts w:ascii="PT Astra Serif" w:hAnsi="PT Astra Serif"/>
          <w:spacing w:val="80"/>
          <w:sz w:val="28"/>
          <w:szCs w:val="28"/>
        </w:rPr>
        <w:t xml:space="preserve">постановляет: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0" w:afterAutospacing="0" w:line="348" w:lineRule="auto"/>
        <w:ind w:firstLine="708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 Утвердить Порядок применения средств видеонаблюдения </w:t>
      </w:r>
      <w:r>
        <w:rPr>
          <w:rFonts w:ascii="PT Astra Serif" w:hAnsi="PT Astra Serif"/>
          <w:sz w:val="28"/>
          <w:szCs w:val="28"/>
        </w:rPr>
        <w:br/>
        <w:t xml:space="preserve">и трансляции изображения при проведении выборов депутатов Государственной Думы Федерального Собрания Российской Федерации девятого созыва, согласованны</w:t>
      </w:r>
      <w:r>
        <w:rPr>
          <w:rFonts w:ascii="PT Astra Serif" w:hAnsi="PT Astra Serif"/>
          <w:sz w:val="28"/>
          <w:szCs w:val="28"/>
        </w:rPr>
        <w:t xml:space="preserve">й с Министерством цифрового развития, связи и массовых коммуникаций Российской Федерации (далее – Порядок) (приложение № 1).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0" w:afterAutospacing="0" w:line="348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2. Утвердить Рекомендации по применению в участковых </w:t>
      </w:r>
      <w:r>
        <w:rPr>
          <w:rFonts w:ascii="PT Astra Serif" w:hAnsi="PT Astra Serif"/>
          <w:sz w:val="28"/>
          <w:szCs w:val="28"/>
        </w:rPr>
        <w:br/>
        <w:t xml:space="preserve">и территориальных избирательных комиссиях средств видеорегистрации (видеофикс</w:t>
      </w:r>
      <w:r>
        <w:rPr>
          <w:rFonts w:ascii="PT Astra Serif" w:hAnsi="PT Astra Serif"/>
          <w:sz w:val="28"/>
          <w:szCs w:val="28"/>
        </w:rPr>
        <w:t xml:space="preserve">ации) при проведении выборов депутатов Государственной Думы Федерального Собрания Российской Федерации девятого созыва (далее – Рекомендации) (приложение № 2).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pacing w:after="0" w:afterAutospacing="0" w:line="348" w:lineRule="auto"/>
        <w:ind w:firstLine="708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 Применять в помещениях для голосования участковых избирательных комиссий и помещениях террито</w:t>
      </w:r>
      <w:r>
        <w:rPr>
          <w:rFonts w:ascii="PT Astra Serif" w:hAnsi="PT Astra Serif"/>
          <w:sz w:val="28"/>
          <w:szCs w:val="28"/>
        </w:rPr>
        <w:t xml:space="preserve">риальных избирательных комиссий средства видеонаблюдения и трансляции изображения </w:t>
        <w:br/>
        <w:t xml:space="preserve">в соответствии с Порядком.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0" w:afterAutospacing="0" w:line="348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 Избирательным комиссиям субъектов Российской Федерации контролировать исполнение территориальными и участковыми избирательными комиссиями требо</w:t>
      </w:r>
      <w:r>
        <w:rPr>
          <w:rFonts w:ascii="PT Astra Serif" w:hAnsi="PT Astra Serif"/>
          <w:sz w:val="28"/>
          <w:szCs w:val="28"/>
        </w:rPr>
        <w:t xml:space="preserve">ваний Порядка, принятие избирательными комиссиями решений о назначении из числа членов соответствующих избирательных комиссий ответственных за работу </w:t>
        <w:br/>
        <w:t xml:space="preserve">со средствами видеонаблюдения и трансляции изображения, а также соблюдение установленных Порядком зон види</w:t>
      </w:r>
      <w:r>
        <w:rPr>
          <w:rFonts w:ascii="PT Astra Serif" w:hAnsi="PT Astra Serif"/>
          <w:sz w:val="28"/>
          <w:szCs w:val="28"/>
        </w:rPr>
        <w:t xml:space="preserve">мости камер видеонаблюдения в помещениях для голосования участковых избирательных комиссий и помещениях территориальных избирательных комиссий.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0" w:afterAutospacing="0" w:line="348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5. Избирательным комиссиям субъектов Российской Федерации утвердить порядок применения средств видеорегистрации </w:t>
      </w:r>
      <w:r>
        <w:rPr>
          <w:rFonts w:ascii="PT Astra Serif" w:hAnsi="PT Astra Serif"/>
          <w:sz w:val="28"/>
          <w:szCs w:val="28"/>
        </w:rPr>
        <w:t xml:space="preserve">(видеофиксации) </w:t>
      </w:r>
      <w:r>
        <w:rPr>
          <w:rFonts w:ascii="PT Astra Serif" w:hAnsi="PT Astra Serif"/>
          <w:sz w:val="28"/>
          <w:szCs w:val="28"/>
        </w:rPr>
        <w:br/>
        <w:t xml:space="preserve">с учетом Рекомендаций.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0" w:afterAutospacing="0" w:line="348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6. В день (дни) голосования в помещениях участковых избирательных комиссий (помещениях для голосования) и помещениях территориальных избирательных комиссий, не оборудованных средствами видеонаблюдения </w:t>
        <w:br/>
        <w:t xml:space="preserve">и трансляции из</w:t>
      </w:r>
      <w:r>
        <w:rPr>
          <w:rFonts w:ascii="PT Astra Serif" w:hAnsi="PT Astra Serif"/>
          <w:sz w:val="28"/>
          <w:szCs w:val="28"/>
        </w:rPr>
        <w:t xml:space="preserve">ображения, применять средства видеорегистрации (видеофиксации), определенные избирательными комиссиями субъектов Российской Федерации в соответствии с Рекомендациями.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pacing w:after="0" w:afterAutospacing="0" w:line="348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7. Опубликовать настоящее постановление в официальном печатном органе Центральной избират</w:t>
      </w:r>
      <w:r>
        <w:rPr>
          <w:rFonts w:ascii="PT Astra Serif" w:hAnsi="PT Astra Serif"/>
          <w:sz w:val="28"/>
          <w:szCs w:val="28"/>
        </w:rPr>
        <w:t xml:space="preserve">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Федерации».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pStyle w:val="1027"/>
        <w:spacing w:line="360" w:lineRule="auto"/>
        <w:ind w:left="0" w:right="459" w:firstLine="709"/>
        <w:jc w:val="left"/>
        <w:rPr>
          <w:rFonts w:ascii="PT Astra Serif" w:hAnsi="PT Astra Serif" w:cs="PT Astra Serif"/>
          <w:sz w:val="28"/>
          <w:szCs w:val="28"/>
          <w14:ligatures w14:val="none"/>
        </w:rPr>
      </w:pPr>
      <w:r>
        <w:rPr>
          <w:rFonts w:ascii="PT Astra Serif" w:hAnsi="PT Astra Serif" w:eastAsia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5386"/>
        <w:gridCol w:w="3969"/>
      </w:tblGrid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pStyle w:val="1027"/>
              <w:suppressLineNumbers w:val="0"/>
              <w:spacing w:after="0" w:afterAutospacing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Председатель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  <w:p>
            <w:pPr>
              <w:pStyle w:val="1027"/>
              <w:suppressLineNumbers w:val="0"/>
              <w:spacing w:after="0" w:afterAutospacing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Центральной избирательной комиссии Российской Федерации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  <w:tc>
          <w:tcPr>
            <w:tcW w:w="3969" w:type="dxa"/>
            <w:noWrap w:val="false"/>
            <w:textDirection w:val="lrTb"/>
            <w:vAlign w:val="bottom"/>
          </w:tcPr>
          <w:p>
            <w:pPr>
              <w:pStyle w:val="1027"/>
              <w:suppressLineNumbers w:val="0"/>
              <w:spacing w:after="0" w:afterAutospacing="0"/>
              <w:ind w:left="0"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Э.А. Памфилова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</w:tr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pStyle w:val="1027"/>
              <w:suppressLineNumbers w:val="0"/>
              <w:spacing w:after="0" w:afterAutospacing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4"/>
                <w:szCs w:val="24"/>
                <w14:ligatures w14:val="none"/>
              </w:rPr>
            </w:r>
          </w:p>
        </w:tc>
        <w:tc>
          <w:tcPr>
            <w:tcW w:w="3969" w:type="dxa"/>
            <w:noWrap w:val="false"/>
            <w:textDirection w:val="lrTb"/>
          </w:tcPr>
          <w:p>
            <w:pPr>
              <w:pStyle w:val="1027"/>
              <w:suppressLineNumbers w:val="0"/>
              <w:spacing w:after="0" w:afterAutospacing="0"/>
              <w:ind w:left="0"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</w:tr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pStyle w:val="1027"/>
              <w:suppressLineNumbers w:val="0"/>
              <w:spacing w:after="0" w:afterAutospacing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Секретарь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  <w:p>
            <w:pPr>
              <w:pStyle w:val="1027"/>
              <w:suppressLineNumbers w:val="0"/>
              <w:spacing w:after="0" w:afterAutospacing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Центральной избирательной комиссии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  <w:p>
            <w:pPr>
              <w:pStyle w:val="1027"/>
              <w:suppressLineNumbers w:val="0"/>
              <w:spacing w:after="0" w:afterAutospacing="0"/>
              <w:ind w:left="0"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Российской Федерации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  <w:tc>
          <w:tcPr>
            <w:tcW w:w="3969" w:type="dxa"/>
            <w:noWrap w:val="false"/>
            <w:textDirection w:val="lrTb"/>
            <w:vAlign w:val="bottom"/>
          </w:tcPr>
          <w:p>
            <w:pPr>
              <w:pStyle w:val="1027"/>
              <w:suppressLineNumbers w:val="0"/>
              <w:spacing w:after="0" w:afterAutospacing="0"/>
              <w:ind w:left="0"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Н.А. 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Бударина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</w:tr>
    </w:tbl>
    <w:p>
      <w:pPr>
        <w:spacing w:after="120" w:line="360" w:lineRule="auto"/>
        <w:ind w:firstLine="0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jc w:val="right"/>
        <w:rPr>
          <w:rFonts w:ascii="PT Astra Serif" w:hAnsi="PT Astra Serif"/>
          <w:b/>
          <w:sz w:val="2"/>
          <w:szCs w:val="2"/>
        </w:rPr>
        <w:sectPr>
          <w:headerReference w:type="default" r:id="rId9"/>
          <w:headerReference w:type="first" r:id="rId10"/>
          <w:footerReference w:type="default" r:id="rId13"/>
          <w:footerReference w:type="first" r:id="rId14"/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1"/>
          <w:cols w:num="1" w:sep="0" w:space="720" w:equalWidth="1"/>
          <w:docGrid w:linePitch="360"/>
          <w:titlePg/>
        </w:sectPr>
      </w:pPr>
      <w:r>
        <w:rPr>
          <w:rFonts w:ascii="PT Astra Serif" w:hAnsi="PT Astra Serif"/>
          <w:b/>
          <w:sz w:val="2"/>
          <w:szCs w:val="2"/>
        </w:rPr>
      </w:r>
      <w:r>
        <w:rPr>
          <w:rFonts w:ascii="PT Astra Serif" w:hAnsi="PT Astra Serif"/>
          <w:b/>
          <w:sz w:val="2"/>
          <w:szCs w:val="2"/>
        </w:rPr>
      </w:r>
      <w:r>
        <w:rPr>
          <w:rFonts w:ascii="PT Astra Serif" w:hAnsi="PT Astra Serif"/>
          <w:b/>
          <w:sz w:val="2"/>
          <w:szCs w:val="2"/>
        </w:rPr>
      </w:r>
    </w:p>
    <w:tbl>
      <w:tblPr>
        <w:tblW w:w="949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110"/>
        <w:gridCol w:w="142"/>
        <w:gridCol w:w="74"/>
        <w:gridCol w:w="5137"/>
        <w:gridCol w:w="33"/>
      </w:tblGrid>
      <w:tr>
        <w:trPr>
          <w:trHeight w:val="283"/>
        </w:trPr>
        <w:tblPrEx/>
        <w:tc>
          <w:tcPr>
            <w:tcW w:w="4252" w:type="dxa"/>
            <w:gridSpan w:val="2"/>
            <w:noWrap w:val="false"/>
            <w:textDirection w:val="lrTb"/>
          </w:tcPr>
          <w:p>
            <w:pPr>
              <w:spacing w:after="0" w:afterAutospacing="0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244" w:type="dxa"/>
            <w:gridSpan w:val="3"/>
            <w:noWrap w:val="false"/>
            <w:textDirection w:val="lrTb"/>
          </w:tcPr>
          <w:p>
            <w:pPr>
              <w:spacing w:after="0" w:afterAutospacing="0"/>
              <w:contextualSpacing/>
              <w:jc w:val="center"/>
              <w:rPr>
                <w:rFonts w:ascii="PT Astra Serif" w:hAnsi="PT Astra Serif"/>
                <w:highlight w:val="none"/>
              </w:rPr>
            </w:pPr>
            <w:r>
              <w:rPr>
                <w:rFonts w:ascii="PT Astra Serif" w:hAnsi="PT Astra Serif"/>
                <w:szCs w:val="20"/>
              </w:rPr>
              <w:t xml:space="preserve">Приложение № 1</w:t>
            </w:r>
            <w:r>
              <w:rPr>
                <w:rFonts w:ascii="PT Astra Serif" w:hAnsi="PT Astra Serif"/>
                <w:szCs w:val="20"/>
              </w:rPr>
            </w:r>
            <w:r>
              <w:rPr>
                <w:rFonts w:ascii="PT Astra Serif" w:hAnsi="PT Astra Serif"/>
                <w:highlight w:val="none"/>
              </w:rPr>
            </w:r>
          </w:p>
          <w:p>
            <w:pPr>
              <w:spacing w:after="0" w:afterAutospacing="0"/>
              <w:contextualSpacing/>
              <w:jc w:val="center"/>
              <w:rPr>
                <w:rFonts w:ascii="PT Astra Serif" w:hAnsi="PT Astra Serif"/>
                <w:sz w:val="4"/>
                <w:szCs w:val="4"/>
              </w:rPr>
            </w:pPr>
            <w:r>
              <w:rPr>
                <w:rFonts w:ascii="PT Astra Serif" w:hAnsi="PT Astra Serif"/>
                <w:sz w:val="4"/>
                <w:szCs w:val="4"/>
                <w:highlight w:val="none"/>
              </w:rPr>
            </w:r>
            <w:r>
              <w:rPr>
                <w:rFonts w:ascii="PT Astra Serif" w:hAnsi="PT Astra Serif"/>
                <w:sz w:val="4"/>
                <w:szCs w:val="4"/>
              </w:rPr>
            </w:r>
          </w:p>
        </w:tc>
      </w:tr>
      <w:tr>
        <w:trPr>
          <w:gridAfter w:val="1"/>
          <w:trHeight w:val="425"/>
        </w:trPr>
        <w:tblPrEx/>
        <w:tc>
          <w:tcPr>
            <w:tcW w:w="4252" w:type="dxa"/>
            <w:gridSpan w:val="2"/>
            <w:noWrap w:val="false"/>
            <w:textDirection w:val="lrTb"/>
          </w:tcPr>
          <w:p>
            <w:pPr>
              <w:spacing w:after="240"/>
              <w:ind w:right="-108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СОГЛАСОВАНО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spacing w:after="240"/>
              <w:ind w:right="-108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письмо Министерства цифрового развития, связи и массовых коммуникаций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spacing w:after="240"/>
              <w:ind w:right="-108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Российской Федерации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spacing w:after="240"/>
              <w:ind w:right="-108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от 13 апреля 2026 года</w:t>
              <w:br/>
            </w:r>
            <w:r>
              <w:rPr>
                <w:rFonts w:ascii="PT Astra Serif" w:hAnsi="PT Astra Serif"/>
              </w:rPr>
              <w:t xml:space="preserve">№ОК-П13-32642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211" w:type="dxa"/>
            <w:gridSpan w:val="2"/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Cs w:val="20"/>
              </w:rPr>
            </w:pPr>
            <w:r>
              <w:rPr>
                <w:rFonts w:ascii="PT Astra Serif" w:hAnsi="PT Astra Serif"/>
                <w:szCs w:val="20"/>
              </w:rPr>
              <w:t xml:space="preserve">УТВЕРЖДЕН</w:t>
            </w:r>
            <w:r>
              <w:rPr>
                <w:rFonts w:ascii="PT Astra Serif" w:hAnsi="PT Astra Serif"/>
                <w:szCs w:val="20"/>
              </w:rPr>
            </w:r>
            <w:r>
              <w:rPr>
                <w:rFonts w:ascii="PT Astra Serif" w:hAnsi="PT Astra Serif"/>
                <w:szCs w:val="20"/>
              </w:rPr>
            </w:r>
          </w:p>
          <w:p>
            <w:pPr>
              <w:spacing w:after="120"/>
              <w:contextualSpacing/>
              <w:jc w:val="center"/>
              <w:rPr>
                <w:rFonts w:ascii="PT Astra Serif" w:hAnsi="PT Astra Serif"/>
                <w:szCs w:val="20"/>
              </w:rPr>
            </w:pPr>
            <w:r>
              <w:rPr>
                <w:rFonts w:ascii="PT Astra Serif" w:hAnsi="PT Astra Serif"/>
                <w:szCs w:val="20"/>
              </w:rPr>
              <w:t xml:space="preserve">постановлением Центральной избирательной комиссии Российской Федерации </w:t>
            </w:r>
            <w:r>
              <w:rPr>
                <w:rFonts w:ascii="PT Astra Serif" w:hAnsi="PT Astra Serif"/>
                <w:szCs w:val="20"/>
              </w:rPr>
            </w:r>
            <w:r>
              <w:rPr>
                <w:rFonts w:ascii="PT Astra Serif" w:hAnsi="PT Astra Serif"/>
                <w:szCs w:val="20"/>
              </w:rPr>
            </w:r>
          </w:p>
          <w:p>
            <w:pPr>
              <w:spacing w:after="120"/>
              <w:contextualSpacing/>
              <w:jc w:val="center"/>
              <w:rPr>
                <w:rFonts w:ascii="PT Astra Serif" w:hAnsi="PT Astra Serif"/>
                <w:szCs w:val="20"/>
              </w:rPr>
            </w:pPr>
            <w:r>
              <w:rPr>
                <w:rFonts w:ascii="PT Astra Serif" w:hAnsi="PT Astra Serif"/>
                <w:szCs w:val="20"/>
              </w:rPr>
              <w:t xml:space="preserve">от 15 апреля 2026 г. № 3/29-9</w:t>
            </w:r>
            <w:r>
              <w:rPr>
                <w:rFonts w:ascii="PT Astra Serif" w:hAnsi="PT Astra Serif"/>
                <w:szCs w:val="20"/>
              </w:rPr>
            </w:r>
          </w:p>
        </w:tc>
      </w:tr>
      <w:tr>
        <w:trPr>
          <w:gridAfter w:val="1"/>
        </w:trPr>
        <w:tblPrEx/>
        <w:tc>
          <w:tcPr>
            <w:tcW w:w="4110" w:type="dxa"/>
            <w:noWrap w:val="false"/>
            <w:textDirection w:val="lrTb"/>
          </w:tcPr>
          <w:p>
            <w:pPr>
              <w:spacing w:after="120"/>
              <w:contextualSpacing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</w:r>
            <w:r>
              <w:rPr>
                <w:rFonts w:ascii="PT Astra Serif" w:hAnsi="PT Astra Serif"/>
                <w:sz w:val="20"/>
                <w:szCs w:val="20"/>
              </w:rPr>
            </w:r>
            <w:r>
              <w:rPr>
                <w:rFonts w:ascii="PT Astra Serif" w:hAnsi="PT Astra Serif"/>
                <w:sz w:val="20"/>
                <w:szCs w:val="20"/>
              </w:rPr>
            </w:r>
          </w:p>
        </w:tc>
        <w:tc>
          <w:tcPr>
            <w:tcW w:w="216" w:type="dxa"/>
            <w:gridSpan w:val="2"/>
            <w:noWrap w:val="false"/>
            <w:textDirection w:val="lrTb"/>
          </w:tcPr>
          <w:p>
            <w:pPr>
              <w:spacing w:after="120"/>
              <w:contextualSpacing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</w:r>
            <w:r>
              <w:rPr>
                <w:rFonts w:ascii="PT Astra Serif" w:hAnsi="PT Astra Serif"/>
                <w:sz w:val="20"/>
                <w:szCs w:val="20"/>
              </w:rPr>
            </w:r>
            <w:r>
              <w:rPr>
                <w:rFonts w:ascii="PT Astra Serif" w:hAnsi="PT Astra Serif"/>
                <w:sz w:val="20"/>
                <w:szCs w:val="20"/>
              </w:rPr>
            </w:r>
          </w:p>
        </w:tc>
        <w:tc>
          <w:tcPr>
            <w:tcW w:w="5137" w:type="dxa"/>
            <w:noWrap w:val="false"/>
            <w:textDirection w:val="lrTb"/>
          </w:tcPr>
          <w:p>
            <w:pPr>
              <w:spacing w:after="120"/>
              <w:contextualSpacing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</w:r>
            <w:r>
              <w:rPr>
                <w:rFonts w:ascii="PT Astra Serif" w:hAnsi="PT Astra Serif"/>
                <w:sz w:val="20"/>
                <w:szCs w:val="20"/>
              </w:rPr>
            </w:r>
            <w:r>
              <w:rPr>
                <w:rFonts w:ascii="PT Astra Serif" w:hAnsi="PT Astra Serif"/>
                <w:sz w:val="20"/>
                <w:szCs w:val="20"/>
              </w:rPr>
            </w:r>
          </w:p>
        </w:tc>
      </w:tr>
    </w:tbl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Порядок применения средств видеонаблюдения и трансляции изображения при проведении выборов 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shd w:val="clear" w:color="auto" w:fill="ffffff"/>
        <w:tabs>
          <w:tab w:val="left" w:pos="0" w:leader="none"/>
          <w:tab w:val="left" w:pos="698" w:leader="none"/>
        </w:tabs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bCs/>
          <w:sz w:val="28"/>
          <w:szCs w:val="20"/>
        </w:rPr>
        <w:t xml:space="preserve">1.</w:t>
      </w:r>
      <w:r>
        <w:rPr>
          <w:rFonts w:ascii="PT Astra Serif" w:hAnsi="PT Astra Serif"/>
          <w:b/>
          <w:sz w:val="28"/>
          <w:szCs w:val="20"/>
        </w:rPr>
        <w:t xml:space="preserve"> </w:t>
      </w:r>
      <w:r>
        <w:rPr>
          <w:rFonts w:ascii="PT Astra Serif" w:hAnsi="PT Astra Serif"/>
          <w:b/>
          <w:bCs/>
          <w:sz w:val="28"/>
          <w:szCs w:val="20"/>
        </w:rPr>
        <w:t xml:space="preserve">Общие положения</w:t>
      </w:r>
      <w:r>
        <w:rPr>
          <w:rFonts w:ascii="PT Astra Serif" w:hAnsi="PT Astra Serif"/>
          <w:b/>
          <w:bCs/>
          <w:sz w:val="28"/>
          <w:szCs w:val="20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shd w:val="clear" w:color="auto" w:fill="ffffff"/>
        <w:tabs>
          <w:tab w:val="left" w:pos="0" w:leader="none"/>
          <w:tab w:val="left" w:pos="698" w:leader="none"/>
        </w:tabs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bCs/>
          <w:sz w:val="28"/>
          <w:szCs w:val="20"/>
          <w:highlight w:val="none"/>
        </w:rPr>
      </w:r>
      <w:r>
        <w:rPr>
          <w:rFonts w:ascii="PT Astra Serif" w:hAnsi="PT Astra Serif"/>
          <w:b/>
          <w:bCs/>
          <w:sz w:val="28"/>
          <w:szCs w:val="20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1.1. Порядок </w:t>
      </w:r>
      <w:r>
        <w:rPr>
          <w:rFonts w:ascii="PT Astra Serif" w:hAnsi="PT Astra Serif"/>
          <w:sz w:val="28"/>
          <w:szCs w:val="28"/>
        </w:rPr>
        <w:t xml:space="preserve">применения средств видеонаблюдения и трансляции изображения при проведении выборов депутатов Государственной Думы Федерального Собрания Российской Федерации девятого созыва (далее – Порядок)</w:t>
      </w:r>
      <w:r>
        <w:rPr>
          <w:rFonts w:ascii="PT Astra Serif" w:hAnsi="PT Astra Serif"/>
          <w:bCs/>
          <w:sz w:val="28"/>
          <w:szCs w:val="28"/>
        </w:rPr>
        <w:t xml:space="preserve"> регламентирует организацию видеонаблюдения</w:t>
      </w:r>
      <w:r>
        <w:rPr>
          <w:rFonts w:ascii="PT Astra Serif" w:hAnsi="PT Astra Serif"/>
          <w:bCs/>
          <w:sz w:val="28"/>
          <w:szCs w:val="28"/>
        </w:rPr>
        <w:t xml:space="preserve"> в помещениях для голосования участковых избирательных комиссий (далее – помещения для голосования), помещениях территориальных избирательных комиссий </w:t>
        <w:br/>
        <w:t xml:space="preserve">(далее – помещения ТИК) и территориальной избирательной комиссии дистанционного электронного голосования </w:t>
      </w:r>
      <w:r>
        <w:rPr>
          <w:rFonts w:ascii="PT Astra Serif" w:hAnsi="PT Astra Serif"/>
          <w:sz w:val="28"/>
          <w:szCs w:val="28"/>
        </w:rPr>
        <w:t xml:space="preserve">(далее соответственно – </w:t>
        <w:br/>
        <w:t xml:space="preserve">ТИК ДЭГ, помещение ТИК ДЭГ)</w:t>
      </w:r>
      <w:r>
        <w:rPr>
          <w:rFonts w:ascii="PT Astra Serif" w:hAnsi="PT Astra Serif"/>
          <w:bCs/>
          <w:sz w:val="28"/>
          <w:szCs w:val="28"/>
        </w:rPr>
        <w:t xml:space="preserve">, определяет объекты видеонаблюдения, время видеонаблюдения и трансляции изображения </w:t>
      </w:r>
      <w:r>
        <w:rPr>
          <w:rFonts w:ascii="PT Astra Serif" w:hAnsi="PT Astra Serif"/>
          <w:bCs/>
          <w:color w:val="000000" w:themeColor="text1"/>
          <w:sz w:val="28"/>
          <w:szCs w:val="28"/>
        </w:rPr>
        <w:t xml:space="preserve">на служебный портал,</w:t>
      </w:r>
      <w:r>
        <w:rPr>
          <w:rFonts w:ascii="PT Astra Serif" w:hAnsi="PT Astra Serif"/>
          <w:bCs/>
          <w:sz w:val="28"/>
          <w:szCs w:val="28"/>
        </w:rPr>
        <w:t xml:space="preserve"> порядок доступа к видеозаписям, полученным в ходе видеонаблюдения, </w:t>
        <w:br/>
        <w:t xml:space="preserve">и сроки их хранения.</w:t>
      </w:r>
      <w:r>
        <w:rPr>
          <w:rFonts w:ascii="PT Astra Serif" w:hAnsi="PT Astra Serif"/>
          <w:bCs/>
          <w:sz w:val="28"/>
          <w:szCs w:val="28"/>
        </w:rPr>
      </w:r>
      <w:r>
        <w:rPr>
          <w:rFonts w:ascii="PT Astra Serif" w:hAnsi="PT Astra Serif"/>
          <w:bCs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1.2. Для це</w:t>
      </w:r>
      <w:r>
        <w:rPr>
          <w:rFonts w:ascii="PT Astra Serif" w:hAnsi="PT Astra Serif"/>
          <w:sz w:val="28"/>
          <w:szCs w:val="28"/>
        </w:rPr>
        <w:t xml:space="preserve">лей Порядка основные термины и понятия означают: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адресная ссылка для доступа к видеозаписи (далее – адресная ссылка) – электронный адрес в сети Интернет, по которому размещена видеозапись, полученная со средства видеонаблюдения;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видеозапись – запись изобра</w:t>
      </w:r>
      <w:r>
        <w:rPr>
          <w:rFonts w:ascii="PT Astra Serif" w:hAnsi="PT Astra Serif"/>
          <w:sz w:val="28"/>
          <w:szCs w:val="28"/>
        </w:rPr>
        <w:t xml:space="preserve">жения и звука, полученная со средства видеонаблюдения и трансляции изображения (далее – средства видеонаблюдения);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доступ к видеозаписи – предоставление адресной ссылки для получения и использования видеозаписи или предоставление доступа </w:t>
        <w:br/>
        <w:t xml:space="preserve">к служебному порта</w:t>
      </w:r>
      <w:r>
        <w:rPr>
          <w:rFonts w:ascii="PT Astra Serif" w:hAnsi="PT Astra Serif"/>
          <w:sz w:val="28"/>
          <w:szCs w:val="28"/>
        </w:rPr>
        <w:t xml:space="preserve">лу на просмотр указанной видеозаписи;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заявка на просмотр видеозаписи (далее – заявка) – обращение в целях просмотра и использования видеозаписи, которое реализуется бесплатно </w:t>
        <w:br/>
        <w:t xml:space="preserve">в соответствии с Порядком;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3969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служебный портал – информационный ресурс в сети Интерн</w:t>
      </w:r>
      <w:r>
        <w:rPr>
          <w:rFonts w:ascii="PT Astra Serif" w:hAnsi="PT Astra Serif"/>
          <w:sz w:val="28"/>
          <w:szCs w:val="28"/>
        </w:rPr>
        <w:t xml:space="preserve">ет </w:t>
        <w:br/>
        <w:t xml:space="preserve">с соответствующим доменным именем, находящийся в закрытом доступе, предназначенный для контроля работоспособности оборудования при подготовке к проведению выборов, в день (дни) голосования – для просмотра видеозаписи в режиме реального времени, а также </w:t>
      </w:r>
      <w:r>
        <w:rPr>
          <w:rFonts w:ascii="PT Astra Serif" w:hAnsi="PT Astra Serif"/>
          <w:sz w:val="28"/>
          <w:szCs w:val="28"/>
        </w:rPr>
        <w:t xml:space="preserve">для работы </w:t>
        <w:br/>
        <w:t xml:space="preserve">с видеозаписями в период их хранения;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3969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ЕПГУ – федеральная государственная информационная система «Единый портал государственных и муниципальных услуг (функций)»;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3969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ЕСИА – федеральная государственная информационная система «Единая система идентифика</w:t>
      </w:r>
      <w:r>
        <w:rPr>
          <w:rFonts w:ascii="PT Astra Serif" w:hAnsi="PT Astra Serif"/>
          <w:sz w:val="28"/>
          <w:szCs w:val="28"/>
        </w:rPr>
        <w:t xml:space="preserve">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hd w:val="clear" w:color="auto" w:fill="ffffff"/>
        <w:tabs>
          <w:tab w:val="left" w:pos="0" w:leader="none"/>
          <w:tab w:val="left" w:pos="698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1.3. Видеонаблюдение в помещениях для голосования, помещениях ТИК, помещении ТИК ДЭГ организуется для обеспечения дополнительных гарантий открытости в деятельности: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а) участковых избирательных комиссий (далее – УИК):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организации голосования в день (дни</w:t>
      </w:r>
      <w:r>
        <w:rPr>
          <w:rFonts w:ascii="PT Astra Serif" w:hAnsi="PT Astra Serif"/>
          <w:sz w:val="28"/>
          <w:szCs w:val="28"/>
        </w:rPr>
        <w:t xml:space="preserve">) голосования;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перемещении избирательных бюллетеней (далее – бюллетени) </w:t>
        <w:br/>
        <w:t xml:space="preserve">из ящиков для голосования в сейф-пакеты и их хранении;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подсчете голосов избирателей и составлении протокола УИК № 1 – </w:t>
      </w:r>
      <w:r>
        <w:rPr>
          <w:rFonts w:ascii="PT Astra Serif" w:hAnsi="PT Astra Serif"/>
          <w:sz w:val="28"/>
          <w:szCs w:val="28"/>
        </w:rPr>
        <w:br/>
        <w:t xml:space="preserve">об итогах голосования по одномандатному избирательному ок</w:t>
      </w:r>
      <w:r>
        <w:rPr>
          <w:rFonts w:ascii="PT Astra Serif" w:hAnsi="PT Astra Serif"/>
          <w:sz w:val="28"/>
          <w:szCs w:val="28"/>
        </w:rPr>
        <w:t xml:space="preserve">ругу </w:t>
        <w:br/>
        <w:t xml:space="preserve">и протокола УИК № 2 – об итогах голосования по федеральному избирательному округу (далее – протоколы УИК об итогах голосования), проведении итогового заседания УИК;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составлении протокола УИК об итогах голосования с отметкой «Повторный», при провед</w:t>
      </w:r>
      <w:r>
        <w:rPr>
          <w:rFonts w:ascii="PT Astra Serif" w:hAnsi="PT Astra Serif"/>
          <w:sz w:val="28"/>
          <w:szCs w:val="28"/>
        </w:rPr>
        <w:t xml:space="preserve">ении повторного подсчета голосов и составлении протокола УИК с отметкой «Повторный подсчет голосов»;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б) территориальных избирательных комиссий (далее – ТИК):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приеме протоколов УИК об итогах голосования, внесении данных протоколов УИК об итогах голосова</w:t>
      </w:r>
      <w:r>
        <w:rPr>
          <w:rFonts w:ascii="PT Astra Serif" w:hAnsi="PT Astra Serif"/>
          <w:sz w:val="28"/>
          <w:szCs w:val="28"/>
        </w:rPr>
        <w:t xml:space="preserve">ния в увеличенные формы сводных таблиц ТИК, суммировании данных, содержащихся в этих протоколах, оформлении решений об итогах голосования на соответствующей территории путем составления протокола ТИК № 1 – об итогах голосования по одномандатному избиратель</w:t>
      </w:r>
      <w:r>
        <w:rPr>
          <w:rFonts w:ascii="PT Astra Serif" w:hAnsi="PT Astra Serif"/>
          <w:sz w:val="28"/>
          <w:szCs w:val="28"/>
        </w:rPr>
        <w:t xml:space="preserve">ному округу и протокола ТИК № 2 – </w:t>
        <w:br/>
        <w:t xml:space="preserve">об итогах голосования по федеральному избирательному округу (далее – протоколы ТИК об итогах голосования), проведении итогового заседания ТИК;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составлении протоколов ТИК об итогах голосования и (или) сводной таблицы с </w:t>
      </w:r>
      <w:r>
        <w:rPr>
          <w:rFonts w:ascii="PT Astra Serif" w:hAnsi="PT Astra Serif"/>
          <w:sz w:val="28"/>
          <w:szCs w:val="28"/>
        </w:rPr>
        <w:t xml:space="preserve">отметкой «Повторный» и (или) «Повторная»;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в) ТИК ДЭГ: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загрузке исходных данных в распределенную базу данных программно-технического комплекса дистанционного электронного голосования (далее – ПТК ДЭГ) для составления списков участников дистанционного эл</w:t>
      </w:r>
      <w:r>
        <w:rPr>
          <w:rFonts w:ascii="PT Astra Serif" w:hAnsi="PT Astra Serif"/>
          <w:sz w:val="28"/>
          <w:szCs w:val="28"/>
        </w:rPr>
        <w:t xml:space="preserve">ектронного голосования, для формирования электронных бюллетеней;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формировании комплекта ключей (ключа зашифрования </w:t>
      </w:r>
      <w:r>
        <w:rPr>
          <w:rFonts w:ascii="PT Astra Serif" w:hAnsi="PT Astra Serif"/>
          <w:sz w:val="28"/>
          <w:szCs w:val="28"/>
        </w:rPr>
        <w:br/>
        <w:t xml:space="preserve">и разделенного на несколько частей ключа расшифрования);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передаче лицам, определенным решением ТИК ДЭГ, внешних носителей информации</w:t>
      </w:r>
      <w:r>
        <w:rPr>
          <w:rFonts w:ascii="PT Astra Serif" w:hAnsi="PT Astra Serif"/>
          <w:sz w:val="28"/>
          <w:szCs w:val="28"/>
        </w:rPr>
        <w:t xml:space="preserve"> с частями ключа расшифрования;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формировании данных для составления списков участников дистанционного электронного голосования в электронном виде и записи их на однократно записываемый носитель информации;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сборке ключа расшифрования;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процедуре </w:t>
      </w:r>
      <w:r>
        <w:rPr>
          <w:rFonts w:ascii="PT Astra Serif" w:hAnsi="PT Astra Serif"/>
          <w:sz w:val="28"/>
          <w:szCs w:val="28"/>
        </w:rPr>
        <w:t xml:space="preserve">расшифрования результатов волеизъявления участников дистанционного электронного голосования;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формировании протокола ТИК ДЭГ об итогах дистанционного электронного голосования;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записи данных об итогах дистанционного электронного голосования на однокр</w:t>
      </w:r>
      <w:r>
        <w:rPr>
          <w:rFonts w:ascii="PT Astra Serif" w:hAnsi="PT Astra Serif"/>
          <w:sz w:val="28"/>
          <w:szCs w:val="28"/>
        </w:rPr>
        <w:t xml:space="preserve">атно записываемый носитель информации.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1.4. </w:t>
      </w:r>
      <w:r>
        <w:rPr>
          <w:rFonts w:ascii="PT Astra Serif" w:hAnsi="PT Astra Serif"/>
          <w:bCs/>
          <w:sz w:val="28"/>
          <w:szCs w:val="28"/>
        </w:rPr>
        <w:t xml:space="preserve">Оказание услуг, связанных с организацией видеонаблюдения, трансляцией изображения и хранением соответствующих видеозаписей, осуществляет </w:t>
      </w:r>
      <w:r>
        <w:rPr>
          <w:rFonts w:ascii="PT Astra Serif" w:hAnsi="PT Astra Serif"/>
          <w:sz w:val="28"/>
          <w:szCs w:val="28"/>
        </w:rPr>
        <w:t xml:space="preserve">организация, определенная Правительством Российской Федерации и привлекаемая </w:t>
      </w:r>
      <w:r>
        <w:rPr>
          <w:rFonts w:ascii="PT Astra Serif" w:hAnsi="PT Astra Serif"/>
          <w:bCs/>
          <w:sz w:val="28"/>
          <w:szCs w:val="28"/>
        </w:rPr>
        <w:t xml:space="preserve">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информационных те</w:t>
      </w:r>
      <w:r>
        <w:rPr>
          <w:rFonts w:ascii="PT Astra Serif" w:hAnsi="PT Astra Serif"/>
          <w:bCs/>
          <w:sz w:val="28"/>
          <w:szCs w:val="28"/>
        </w:rPr>
        <w:t xml:space="preserve">хнологий (далее соответственно </w:t>
      </w:r>
      <w:r>
        <w:rPr>
          <w:rFonts w:ascii="PT Astra Serif" w:hAnsi="PT Astra Serif"/>
          <w:bCs/>
          <w:strike/>
          <w:sz w:val="28"/>
          <w:szCs w:val="28"/>
        </w:rPr>
        <w:t xml:space="preserve">–</w:t>
      </w:r>
      <w:r>
        <w:rPr>
          <w:rFonts w:ascii="PT Astra Serif" w:hAnsi="PT Astra Serif"/>
          <w:bCs/>
          <w:sz w:val="28"/>
          <w:szCs w:val="28"/>
        </w:rPr>
        <w:t xml:space="preserve"> технический оператор, Минцифры России).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hd w:val="clear" w:color="auto" w:fill="ffffff"/>
        <w:tabs>
          <w:tab w:val="left" w:pos="0" w:leader="none"/>
          <w:tab w:val="left" w:pos="698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1.5 Видеонаблюдение осуществляется с использованием средств видеонаблюдения, которые устанавливаются в помещениях для голосования, помещениях ТИК, помещении ТИК ДЭГ и представляют соб</w:t>
      </w:r>
      <w:r>
        <w:rPr>
          <w:rFonts w:ascii="PT Astra Serif" w:hAnsi="PT Astra Serif"/>
          <w:bCs/>
          <w:sz w:val="28"/>
          <w:szCs w:val="28"/>
        </w:rPr>
        <w:t xml:space="preserve">ой устройства, предназначенные для видеонаблюдения, записи и трансляции </w:t>
      </w:r>
      <w:r>
        <w:rPr>
          <w:rFonts w:ascii="PT Astra Serif" w:hAnsi="PT Astra Serif"/>
          <w:bCs/>
          <w:color w:val="000000" w:themeColor="text1"/>
          <w:sz w:val="28"/>
          <w:szCs w:val="28"/>
        </w:rPr>
        <w:t xml:space="preserve">изображения</w:t>
      </w:r>
      <w:r>
        <w:rPr>
          <w:rFonts w:ascii="PT Astra Serif" w:hAnsi="PT Astra Serif"/>
          <w:bCs/>
          <w:sz w:val="28"/>
          <w:szCs w:val="28"/>
        </w:rPr>
        <w:t xml:space="preserve">. </w:t>
      </w:r>
      <w:r>
        <w:rPr>
          <w:rFonts w:ascii="PT Astra Serif" w:hAnsi="PT Astra Serif"/>
          <w:bCs/>
          <w:sz w:val="28"/>
          <w:szCs w:val="28"/>
        </w:rPr>
      </w:r>
      <w:r>
        <w:rPr>
          <w:rFonts w:ascii="PT Astra Serif" w:hAnsi="PT Astra Serif"/>
          <w:bCs/>
          <w:sz w:val="28"/>
          <w:szCs w:val="28"/>
        </w:rPr>
      </w:r>
    </w:p>
    <w:p>
      <w:pPr>
        <w:suppressLineNumbers w:val="0"/>
        <w:shd w:val="clear" w:color="auto" w:fill="ffffff"/>
        <w:tabs>
          <w:tab w:val="left" w:pos="0" w:leader="none"/>
          <w:tab w:val="left" w:pos="698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Средство видеонаблюдения состоит из двух видеокамер, оборудования для хранения видеозаписей (карты памяти или регистратор), коммутатора, блока (блоков) бесперебойного пит</w:t>
      </w:r>
      <w:r>
        <w:rPr>
          <w:rFonts w:ascii="PT Astra Serif" w:hAnsi="PT Astra Serif"/>
          <w:bCs/>
          <w:sz w:val="28"/>
          <w:szCs w:val="28"/>
        </w:rPr>
        <w:t xml:space="preserve">ания. Для обеспечения сохранности отдельных элементов средства видеонаблюдения применяется антивандальный шкаф.</w:t>
      </w:r>
      <w:r>
        <w:rPr>
          <w:rFonts w:ascii="PT Astra Serif" w:hAnsi="PT Astra Serif"/>
          <w:bCs/>
          <w:sz w:val="28"/>
          <w:szCs w:val="28"/>
        </w:rPr>
      </w:r>
      <w:r>
        <w:rPr>
          <w:rFonts w:ascii="PT Astra Serif" w:hAnsi="PT Astra Serif"/>
          <w:bCs/>
          <w:sz w:val="28"/>
          <w:szCs w:val="28"/>
        </w:rPr>
      </w:r>
    </w:p>
    <w:p>
      <w:pPr>
        <w:suppressLineNumbers w:val="0"/>
        <w:shd w:val="clear" w:color="auto" w:fill="ffffff"/>
        <w:tabs>
          <w:tab w:val="left" w:pos="0" w:leader="none"/>
          <w:tab w:val="left" w:pos="698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pacing w:val="-1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Средство видеонаблюдения</w:t>
      </w:r>
      <w:r>
        <w:rPr>
          <w:rFonts w:ascii="PT Astra Serif" w:hAnsi="PT Astra Serif"/>
          <w:spacing w:val="-1"/>
          <w:sz w:val="28"/>
          <w:szCs w:val="28"/>
        </w:rPr>
        <w:t xml:space="preserve"> с момента включения обеспечивает непрерывную </w:t>
      </w:r>
      <w:r>
        <w:rPr>
          <w:rFonts w:ascii="PT Astra Serif" w:hAnsi="PT Astra Serif"/>
          <w:sz w:val="28"/>
          <w:szCs w:val="28"/>
        </w:rPr>
        <w:t xml:space="preserve">звуко- и видеозапись</w:t>
      </w:r>
      <w:r>
        <w:rPr>
          <w:rFonts w:ascii="PT Astra Serif" w:hAnsi="PT Astra Serif"/>
          <w:spacing w:val="-1"/>
          <w:sz w:val="28"/>
          <w:szCs w:val="28"/>
        </w:rPr>
        <w:t xml:space="preserve"> в течение времени, установленного Порядком, в том чис</w:t>
      </w:r>
      <w:r>
        <w:rPr>
          <w:rFonts w:ascii="PT Astra Serif" w:hAnsi="PT Astra Serif"/>
          <w:spacing w:val="-1"/>
          <w:sz w:val="28"/>
          <w:szCs w:val="28"/>
        </w:rPr>
        <w:t xml:space="preserve">ле в ночное время. В случае возникновения неисправности доступ представителей технического оператора к средству видеонаблюдения обеспечивает председатель УИК, ТИК, ТИК ДЭГ.</w:t>
      </w:r>
      <w:r>
        <w:rPr>
          <w:rFonts w:ascii="PT Astra Serif" w:hAnsi="PT Astra Serif"/>
          <w:spacing w:val="-1"/>
          <w:sz w:val="28"/>
          <w:szCs w:val="28"/>
        </w:rPr>
      </w:r>
      <w:r>
        <w:rPr>
          <w:rFonts w:ascii="PT Astra Serif" w:hAnsi="PT Astra Serif"/>
          <w:spacing w:val="-1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1.6. ЦИК России осуществляет координацию деятельности избирательных комиссий субъек</w:t>
      </w:r>
      <w:r>
        <w:rPr>
          <w:rFonts w:ascii="PT Astra Serif" w:hAnsi="PT Astra Serif"/>
          <w:sz w:val="28"/>
          <w:szCs w:val="28"/>
        </w:rPr>
        <w:t xml:space="preserve">тов Российской Федерации (далее – ИКСРФ) и их взаимодействия с </w:t>
      </w:r>
      <w:r>
        <w:rPr>
          <w:rFonts w:ascii="PT Astra Serif" w:hAnsi="PT Astra Serif"/>
          <w:bCs/>
          <w:sz w:val="28"/>
          <w:szCs w:val="28"/>
        </w:rPr>
        <w:t xml:space="preserve">Минцифры России</w:t>
      </w:r>
      <w:r>
        <w:rPr>
          <w:rFonts w:ascii="PT Astra Serif" w:hAnsi="PT Astra Serif"/>
          <w:sz w:val="28"/>
          <w:szCs w:val="28"/>
        </w:rPr>
        <w:t xml:space="preserve">, а также с техническим оператором по вопросам организации применения средств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pacing w:val="6"/>
          <w:sz w:val="28"/>
          <w:szCs w:val="28"/>
        </w:rPr>
        <w:t xml:space="preserve">ИКСРФ обеспечивает взаимодействие нижестоящих избирательных комиссий с техническим оператором </w:t>
      </w:r>
      <w:r>
        <w:rPr>
          <w:rFonts w:ascii="PT Astra Serif" w:hAnsi="PT Astra Serif"/>
          <w:sz w:val="28"/>
          <w:szCs w:val="28"/>
        </w:rPr>
        <w:t xml:space="preserve">по вопросам организации применения средств видеонаблюдения. Технический оператор для взаимодействия </w:t>
        <w:br/>
        <w:t xml:space="preserve">с избирательными комиссиями организует горячую линию с бесплат</w:t>
      </w:r>
      <w:r>
        <w:rPr>
          <w:rFonts w:ascii="PT Astra Serif" w:hAnsi="PT Astra Serif"/>
          <w:sz w:val="28"/>
          <w:szCs w:val="28"/>
        </w:rPr>
        <w:t xml:space="preserve">ным для пользователя телефонным номером (код 8-800) и доводит его до сведения избирательных комиссий.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1.7. Применение средств видеонаблюдения не должно нарушать принцип тайного голосования, а полученные в ходе видеонаблюдения </w:t>
        <w:br/>
        <w:t xml:space="preserve">в помещении для голосования, п</w:t>
      </w:r>
      <w:r>
        <w:rPr>
          <w:rFonts w:ascii="PT Astra Serif" w:hAnsi="PT Astra Serif"/>
          <w:bCs/>
          <w:sz w:val="28"/>
          <w:szCs w:val="28"/>
        </w:rPr>
        <w:t xml:space="preserve">омещении ТИК, помещении ТИК ДЭГ видеозаписи не могут использоваться вместо определенных законодательством процедур подсчета голосов избирателей и установления итогов голосования.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1.8. Средства видеонаблюдения не применяются в помещениях для голосования, на</w:t>
      </w:r>
      <w:r>
        <w:rPr>
          <w:rFonts w:ascii="PT Astra Serif" w:hAnsi="PT Astra Serif"/>
          <w:sz w:val="28"/>
          <w:szCs w:val="28"/>
        </w:rPr>
        <w:t xml:space="preserve">ходящихся на избирательных участках, образованных </w:t>
        <w:br/>
        <w:t xml:space="preserve">в больницах и других медицинских организациях, которые имеют стационарные отделения, в местах содержания под стражей подозреваемых </w:t>
        <w:br/>
        <w:t xml:space="preserve">и обвиняемых, других местах временного пребывания, воинских частях, </w:t>
        <w:br/>
        <w:t xml:space="preserve">на суда</w:t>
      </w:r>
      <w:r>
        <w:rPr>
          <w:rFonts w:ascii="PT Astra Serif" w:hAnsi="PT Astra Serif"/>
          <w:sz w:val="28"/>
          <w:szCs w:val="28"/>
        </w:rPr>
        <w:t xml:space="preserve">х, которые будут находиться в день (дни) голосования в плавании, </w:t>
        <w:br/>
        <w:t xml:space="preserve">на полярных станциях, а также на избирательных участках, образованных </w:t>
        <w:br/>
        <w:t xml:space="preserve">за пределами территории Российской Федерации.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помещениях для голосования, находящихся на избирательных участках, в гран</w:t>
      </w:r>
      <w:r>
        <w:rPr>
          <w:rFonts w:ascii="PT Astra Serif" w:hAnsi="PT Astra Serif"/>
          <w:sz w:val="28"/>
          <w:szCs w:val="28"/>
        </w:rPr>
        <w:t xml:space="preserve">ицах которых находятся воинские части и где голосуют военнослужащие, за исключением помещений для голосования, находящихся на избирательных участках, образованных в воинских частях, средства видеонаблюдения применяются по согласованию ТИК с командиром воин</w:t>
      </w:r>
      <w:r>
        <w:rPr>
          <w:rFonts w:ascii="PT Astra Serif" w:hAnsi="PT Astra Serif"/>
          <w:sz w:val="28"/>
          <w:szCs w:val="28"/>
        </w:rPr>
        <w:t xml:space="preserve">ской части.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Перечень избирательных участков, на которых осуществляется видеонаблюдение, формируется ИКСРФ с использованием личного кабинета на ЕПГУ и направляется ЦИК России в </w:t>
      </w:r>
      <w:r>
        <w:rPr>
          <w:rFonts w:ascii="PT Astra Serif" w:hAnsi="PT Astra Serif"/>
          <w:bCs/>
          <w:sz w:val="28"/>
          <w:szCs w:val="28"/>
        </w:rPr>
        <w:t xml:space="preserve">Минцифры России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1.9. В случае совмещения дня (дней) голосования на выборах депу</w:t>
      </w:r>
      <w:r>
        <w:rPr>
          <w:rFonts w:ascii="PT Astra Serif" w:hAnsi="PT Astra Serif"/>
          <w:sz w:val="28"/>
          <w:szCs w:val="28"/>
        </w:rPr>
        <w:t xml:space="preserve">татов Государственной Думы Федерального Собрания Российской Федерации девятого созыва с днем (днями) голосования на иных выборах, референдумах средства видеонаблюдения применяются на всех выборах, референдумах </w:t>
      </w:r>
      <w:r>
        <w:rPr>
          <w:rFonts w:ascii="PT Astra Serif" w:hAnsi="PT Astra Serif"/>
          <w:sz w:val="28"/>
          <w:szCs w:val="28"/>
        </w:rPr>
        <w:br/>
        <w:t xml:space="preserve">в соответствии с Порядком.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1.10. Средства видеонаблю</w:t>
      </w:r>
      <w:r>
        <w:rPr>
          <w:rFonts w:ascii="PT Astra Serif" w:hAnsi="PT Astra Serif"/>
          <w:sz w:val="28"/>
          <w:szCs w:val="28"/>
        </w:rPr>
        <w:t xml:space="preserve">дения применяются с учетом положений статьи 152</w:t>
      </w:r>
      <w:r>
        <w:rPr>
          <w:rFonts w:ascii="PT Astra Serif" w:hAnsi="PT Astra Serif"/>
          <w:sz w:val="28"/>
          <w:szCs w:val="28"/>
          <w:vertAlign w:val="superscript"/>
        </w:rPr>
        <w:t xml:space="preserve">1</w:t>
      </w:r>
      <w:r>
        <w:rPr>
          <w:rFonts w:ascii="PT Astra Serif" w:hAnsi="PT Astra Serif"/>
          <w:sz w:val="28"/>
          <w:szCs w:val="28"/>
        </w:rPr>
        <w:t xml:space="preserve"> Гражданского кодекса Российской Федерации, иных положений законодательства Российской Федерации, устанавливающих ограничения доступа к информации и ее распространению.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1.11. ЦИК России, ИКСРФ</w:t>
      </w:r>
      <w:r>
        <w:rPr>
          <w:rFonts w:ascii="PT Astra Serif" w:hAnsi="PT Astra Serif"/>
          <w:spacing w:val="6"/>
          <w:sz w:val="28"/>
          <w:szCs w:val="28"/>
        </w:rPr>
        <w:t xml:space="preserve">, ТИК, ТИК ДЭГ и</w:t>
      </w:r>
      <w:r>
        <w:rPr>
          <w:rFonts w:ascii="PT Astra Serif" w:hAnsi="PT Astra Serif"/>
          <w:spacing w:val="6"/>
          <w:sz w:val="28"/>
          <w:szCs w:val="28"/>
        </w:rPr>
        <w:t xml:space="preserve"> УИК</w:t>
      </w:r>
      <w:r>
        <w:rPr>
          <w:rFonts w:ascii="PT Astra Serif" w:hAnsi="PT Astra Serif"/>
          <w:sz w:val="28"/>
          <w:szCs w:val="28"/>
        </w:rPr>
        <w:t xml:space="preserve"> осуществляют</w:t>
      </w:r>
      <w:r>
        <w:rPr>
          <w:rFonts w:ascii="PT Astra Serif" w:hAnsi="PT Astra Serif"/>
          <w:b/>
          <w:bCs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информирование зарегистрированных кандидатов, политических партий, выдвинувших зарегистрированные федеральные списки кандидатов, зарегистрированных кандидатов, избирателей и иных участников избирательного процесса о применении средств вид</w:t>
      </w:r>
      <w:r>
        <w:rPr>
          <w:rFonts w:ascii="PT Astra Serif" w:hAnsi="PT Astra Serif"/>
          <w:sz w:val="28"/>
          <w:szCs w:val="28"/>
        </w:rPr>
        <w:t xml:space="preserve">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1.12. При входе, а также внутри помещений, где применяются средства видеонаблюдения, на видном месте должны быть размещены одна либо несколько табличек формата не менее А4 с надписью «В помещении ведется видеонаблюдение».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зоне видимости сре</w:t>
      </w:r>
      <w:r>
        <w:rPr>
          <w:rFonts w:ascii="PT Astra Serif" w:hAnsi="PT Astra Serif"/>
          <w:sz w:val="28"/>
          <w:szCs w:val="28"/>
        </w:rPr>
        <w:t xml:space="preserve">дств видеонаблюдения рекомендуется разместить таблички при осуществлении следующих действий членов УИК: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перемещение бюллетеней из переносного (стационарного) ящика для голосования в сейф-пакеты – табличка «Перемещение бюллетеней </w:t>
        <w:br/>
        <w:t xml:space="preserve">в сейф-пакеты»;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ввод бюлле</w:t>
      </w:r>
      <w:r>
        <w:rPr>
          <w:rFonts w:ascii="PT Astra Serif" w:hAnsi="PT Astra Serif"/>
          <w:sz w:val="28"/>
          <w:szCs w:val="28"/>
        </w:rPr>
        <w:t xml:space="preserve">теней из переносных ящиков для голосования </w:t>
        <w:br/>
        <w:t xml:space="preserve">в сканирующее устройство комплекса обработки избирательных бюллетеней (далее – КОИБ) – «Ввод бюллетеней в КОИБ»;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запечатывание сейф-пакетов – «Запечатывание сейф-пакетов»;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перемещение запечатанных сейф-пакетов с б</w:t>
      </w:r>
      <w:r>
        <w:rPr>
          <w:rFonts w:ascii="PT Astra Serif" w:hAnsi="PT Astra Serif"/>
          <w:sz w:val="28"/>
          <w:szCs w:val="28"/>
        </w:rPr>
        <w:t xml:space="preserve">юллетенями в сейф (металлический шкаф, металлический ящик) – «Перемещение запечатанных сейф-пакетов в сейф»;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извлечение бюллетеней из сейф-пакетов – «Извлечение бюллетеней </w:t>
        <w:br/>
        <w:t xml:space="preserve">из сейф-пакетов».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Сейф (металлический шкаф, металлический ящик), содержащий сейф-пакеты с бюллетенями проголосовавших избирателей, составленные </w:t>
      </w:r>
      <w:r>
        <w:rPr>
          <w:rFonts w:ascii="PT Astra Serif" w:hAnsi="PT Astra Serif"/>
          <w:sz w:val="28"/>
          <w:szCs w:val="28"/>
        </w:rPr>
        <w:br/>
        <w:t xml:space="preserve">в отношении них акты, заявления избирателей о предоставлении возможности проголосовать вне помещения для голосования, рекомендует</w:t>
      </w:r>
      <w:r>
        <w:rPr>
          <w:rFonts w:ascii="PT Astra Serif" w:hAnsi="PT Astra Serif"/>
          <w:sz w:val="28"/>
          <w:szCs w:val="28"/>
        </w:rPr>
        <w:t xml:space="preserve">ся промаркировать надписью «Место хранения сейф-пакетов».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240" w:lineRule="auto"/>
        <w:ind w:firstLine="709"/>
        <w:contextualSpacing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keepNext/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2. Применение средств видеонаблюдения в помещениях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keepNext/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для голосования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keepNext/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widowControl w:val="off"/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trike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2.1. Объекты видеонаблюдения в помещении для голосования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:</w:t>
      </w:r>
      <w:r>
        <w:rPr>
          <w:rFonts w:ascii="PT Astra Serif" w:hAnsi="PT Astra Serif"/>
          <w:strike/>
          <w:sz w:val="28"/>
          <w:szCs w:val="28"/>
        </w:rPr>
      </w:r>
      <w:r>
        <w:rPr>
          <w:rFonts w:ascii="PT Astra Serif" w:hAnsi="PT Astra Serif"/>
          <w:strike/>
          <w:sz w:val="28"/>
          <w:szCs w:val="28"/>
        </w:rPr>
      </w:r>
    </w:p>
    <w:p>
      <w:pPr>
        <w:widowControl w:val="off"/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ходе голосования – помещение для голосования в целом; увеличенные фор</w:t>
      </w:r>
      <w:r>
        <w:rPr>
          <w:rFonts w:ascii="PT Astra Serif" w:hAnsi="PT Astra Serif"/>
          <w:sz w:val="28"/>
          <w:szCs w:val="28"/>
        </w:rPr>
        <w:t xml:space="preserve">мы протоколов УИК об итогах голосования; места, где осуществляется работа со списком избирателей; места выдачи избирателям бюллетеней; стационарные и переносные ящики для голосования; КОИБ;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места перемещения бюллетеней из ящиков для голосования в сейф-пак</w:t>
      </w:r>
      <w:r>
        <w:rPr>
          <w:rFonts w:ascii="PT Astra Serif" w:hAnsi="PT Astra Serif"/>
          <w:sz w:val="28"/>
          <w:szCs w:val="28"/>
        </w:rPr>
        <w:t xml:space="preserve">еты или в КОИБ; переносные и стационарные ящики для голосования, </w:t>
        <w:br/>
        <w:t xml:space="preserve">в которых хранятся бюллетени проголосовавших избирателей; сейф (металлический шкаф, металлический ящик), где хранятся сейф-пакеты </w:t>
        <w:br/>
        <w:t xml:space="preserve">с бюллетенями проголосовавших избирателей;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проведении под</w:t>
      </w:r>
      <w:r>
        <w:rPr>
          <w:rFonts w:ascii="PT Astra Serif" w:hAnsi="PT Astra Serif"/>
          <w:sz w:val="28"/>
          <w:szCs w:val="28"/>
        </w:rPr>
        <w:t xml:space="preserve">счета голосов избирателей – места погашения неиспользованных бюллетеней; места подсчета голосов избирателей </w:t>
        <w:br/>
        <w:t xml:space="preserve">по бюллетеням, извлеченным из сейф-пакетов; места непосредственного подсчета голосов избирателей по бюллетеням, извлеченным из переносных </w:t>
        <w:br/>
        <w:t xml:space="preserve">и стациона</w:t>
      </w:r>
      <w:r>
        <w:rPr>
          <w:rFonts w:ascii="PT Astra Serif" w:hAnsi="PT Astra Serif"/>
          <w:sz w:val="28"/>
          <w:szCs w:val="28"/>
        </w:rPr>
        <w:t xml:space="preserve">рных ящиков для голосования; место работы оператора специального программного обеспечения УИК при применении технологии изготовления протоколов УИК об итогах голосования с машиночитаемым кодом; место подписания протоколов УИК об итогах голосования </w:t>
        <w:br/>
        <w:t xml:space="preserve">и провед</w:t>
      </w:r>
      <w:r>
        <w:rPr>
          <w:rFonts w:ascii="PT Astra Serif" w:hAnsi="PT Astra Serif"/>
          <w:sz w:val="28"/>
          <w:szCs w:val="28"/>
        </w:rPr>
        <w:t xml:space="preserve">ения итогового заседания УИК.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2.2. Места размещения средств видеонаблюдения, в том числе камер видеонаблюдения и иного оборудования в помещении для голосования, определяет УИК по согласованию с владельцем помещения </w:t>
      </w:r>
      <w:r>
        <w:rPr>
          <w:rFonts w:ascii="PT Astra Serif" w:hAnsi="PT Astra Serif"/>
          <w:spacing w:val="-1"/>
          <w:sz w:val="28"/>
          <w:szCs w:val="28"/>
        </w:rPr>
        <w:t xml:space="preserve">(иным ответственным лицом) </w:t>
      </w:r>
      <w:r>
        <w:rPr>
          <w:rFonts w:ascii="PT Astra Serif" w:hAnsi="PT Astra Serif"/>
          <w:sz w:val="28"/>
          <w:szCs w:val="28"/>
        </w:rPr>
        <w:t xml:space="preserve">и с учетом рек</w:t>
      </w:r>
      <w:r>
        <w:rPr>
          <w:rFonts w:ascii="PT Astra Serif" w:hAnsi="PT Astra Serif"/>
          <w:sz w:val="28"/>
          <w:szCs w:val="28"/>
        </w:rPr>
        <w:t xml:space="preserve">омендаций представителей технического оператора. Камеры видеонаблюдения должны располагаться таким образом, чтобы в зоне их видимости располагались все объекты видеонаблюдения, указанные в пункте 2.1 Порядка.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2694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pacing w:val="-1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2.3. </w:t>
      </w:r>
      <w:r>
        <w:rPr>
          <w:rFonts w:ascii="PT Astra Serif" w:hAnsi="PT Astra Serif"/>
          <w:spacing w:val="-1"/>
          <w:sz w:val="28"/>
          <w:szCs w:val="28"/>
        </w:rPr>
        <w:t xml:space="preserve">После определения мест размещения средств видеонаблюдения</w:t>
      </w:r>
      <w:r>
        <w:rPr>
          <w:rFonts w:ascii="PT Astra Serif" w:hAnsi="PT Astra Serif"/>
          <w:b/>
          <w:spacing w:val="-1"/>
          <w:sz w:val="28"/>
          <w:szCs w:val="28"/>
        </w:rPr>
        <w:t xml:space="preserve"> </w:t>
      </w:r>
      <w:r>
        <w:rPr>
          <w:rFonts w:ascii="PT Astra Serif" w:hAnsi="PT Astra Serif"/>
          <w:spacing w:val="-1"/>
          <w:sz w:val="28"/>
          <w:szCs w:val="28"/>
        </w:rPr>
        <w:t xml:space="preserve">соответствующая УИК составляет схему размещения средств видеонаблюдения в помещении для голосования (приложение № 1 </w:t>
      </w:r>
      <w:r>
        <w:rPr>
          <w:rFonts w:ascii="PT Astra Serif" w:hAnsi="PT Astra Serif"/>
          <w:spacing w:val="-1"/>
          <w:sz w:val="28"/>
          <w:szCs w:val="28"/>
        </w:rPr>
        <w:br/>
        <w:t xml:space="preserve">к Порядку) с учетом рекомендаций технического опера</w:t>
      </w:r>
      <w:r>
        <w:rPr>
          <w:rFonts w:ascii="PT Astra Serif" w:hAnsi="PT Astra Serif"/>
          <w:spacing w:val="-1"/>
          <w:sz w:val="28"/>
          <w:szCs w:val="28"/>
        </w:rPr>
        <w:t xml:space="preserve">тора, обозначая на ней зону видимости каждой камеры видеонаблюдения и размещение технологического оборудования, столов и иного оборудования, а также </w:t>
        <w:br/>
        <w:t xml:space="preserve">место, с которого должны демонстрироваться протоколы УИК об итогах голосования и оглашаться данные из них. </w:t>
      </w:r>
      <w:r>
        <w:rPr>
          <w:rFonts w:ascii="PT Astra Serif" w:hAnsi="PT Astra Serif"/>
          <w:spacing w:val="-1"/>
          <w:sz w:val="28"/>
          <w:szCs w:val="28"/>
        </w:rPr>
      </w:r>
      <w:r>
        <w:rPr>
          <w:rFonts w:ascii="PT Astra Serif" w:hAnsi="PT Astra Serif"/>
          <w:spacing w:val="-1"/>
          <w:sz w:val="28"/>
          <w:szCs w:val="28"/>
        </w:rPr>
      </w:r>
    </w:p>
    <w:p>
      <w:pPr>
        <w:suppressLineNumbers w:val="0"/>
        <w:tabs>
          <w:tab w:val="left" w:pos="2694" w:leader="none"/>
        </w:tabs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pacing w:val="-1"/>
          <w:sz w:val="28"/>
          <w:szCs w:val="28"/>
        </w:rPr>
      </w:pPr>
      <w:r>
        <w:rPr>
          <w:rFonts w:ascii="PT Astra Serif" w:hAnsi="PT Astra Serif"/>
          <w:spacing w:val="-1"/>
          <w:sz w:val="28"/>
          <w:szCs w:val="28"/>
        </w:rPr>
        <w:t xml:space="preserve">Указанная выше схема подписывается представителем технического оператора, председателем УИК и согласовывается с владельцем помещения (иным ответственным лицом). Скан-копия подписанной схемы загружается </w:t>
        <w:br/>
        <w:t xml:space="preserve">на служебный портал, оригинал схемы или ее копия разм</w:t>
      </w:r>
      <w:r>
        <w:rPr>
          <w:rFonts w:ascii="PT Astra Serif" w:hAnsi="PT Astra Serif"/>
          <w:spacing w:val="-1"/>
          <w:sz w:val="28"/>
          <w:szCs w:val="28"/>
        </w:rPr>
        <w:t xml:space="preserve">ещается </w:t>
        <w:br/>
        <w:t xml:space="preserve">в помещении для голосования. </w:t>
      </w:r>
      <w:r>
        <w:rPr>
          <w:rFonts w:ascii="PT Astra Serif" w:hAnsi="PT Astra Serif"/>
          <w:spacing w:val="-1"/>
          <w:sz w:val="28"/>
          <w:szCs w:val="28"/>
        </w:rPr>
      </w:r>
      <w:r>
        <w:rPr>
          <w:rFonts w:ascii="PT Astra Serif" w:hAnsi="PT Astra Serif"/>
          <w:spacing w:val="-1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2.4. Представитель технического оператора устанавливает средства видеонаблюдения в соответствии с указанной в пункте 2.3 Порядка схемой размещения средств видеонаблюдения. При этом камеры видеонаблюдения устанавливаютс</w:t>
      </w:r>
      <w:r>
        <w:rPr>
          <w:rFonts w:ascii="PT Astra Serif" w:hAnsi="PT Astra Serif"/>
          <w:sz w:val="28"/>
          <w:szCs w:val="28"/>
        </w:rPr>
        <w:t xml:space="preserve">я на высоте, обеспечивающей отсутствие помех для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pacing w:val="2"/>
          <w:sz w:val="28"/>
          <w:szCs w:val="28"/>
        </w:rPr>
      </w:pPr>
      <w:r>
        <w:rPr>
          <w:rFonts w:ascii="PT Astra Serif" w:hAnsi="PT Astra Serif"/>
          <w:spacing w:val="2"/>
          <w:sz w:val="28"/>
          <w:szCs w:val="28"/>
        </w:rPr>
        <w:t xml:space="preserve">Представителем технического оператора проводится настройка средств видеонаблюдения, проверка их работоспособности в соответствии </w:t>
        <w:br/>
        <w:t xml:space="preserve">с эксплуатационной документацией и требованиями Порядка.</w:t>
      </w:r>
      <w:r>
        <w:rPr>
          <w:rFonts w:ascii="PT Astra Serif" w:hAnsi="PT Astra Serif"/>
          <w:spacing w:val="2"/>
          <w:sz w:val="28"/>
          <w:szCs w:val="28"/>
        </w:rPr>
      </w:r>
      <w:r>
        <w:rPr>
          <w:rFonts w:ascii="PT Astra Serif" w:hAnsi="PT Astra Serif"/>
          <w:spacing w:val="2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2.5.</w:t>
      </w:r>
      <w:r>
        <w:rPr>
          <w:rFonts w:ascii="PT Astra Serif" w:hAnsi="PT Astra Serif"/>
          <w:sz w:val="28"/>
          <w:szCs w:val="28"/>
        </w:rPr>
        <w:t xml:space="preserve"> Работу со средствами видеонаблюдения осуществляют не менее двух членов УИК, назначенных в состав УИК по предложениям политических партий (далее – члены УИК, осуществляющие работу </w:t>
        <w:br/>
        <w:t xml:space="preserve">со средствами видеонаблюдения) и определенных решением УИК</w:t>
      </w:r>
      <w:r>
        <w:rPr>
          <w:rFonts w:ascii="PT Astra Serif" w:hAnsi="PT Astra Serif"/>
        </w:rPr>
        <w:t xml:space="preserve"> </w:t>
      </w:r>
      <w:r>
        <w:rPr>
          <w:rFonts w:ascii="PT Astra Serif" w:hAnsi="PT Astra Serif"/>
          <w:sz w:val="28"/>
        </w:rPr>
        <w:t xml:space="preserve">н</w:t>
      </w:r>
      <w:r>
        <w:rPr>
          <w:rFonts w:ascii="PT Astra Serif" w:hAnsi="PT Astra Serif"/>
          <w:sz w:val="28"/>
          <w:szCs w:val="28"/>
        </w:rPr>
        <w:t xml:space="preserve">е позднее чем за</w:t>
      </w:r>
      <w:r>
        <w:rPr>
          <w:rFonts w:ascii="PT Astra Serif" w:hAnsi="PT Astra Serif"/>
          <w:sz w:val="28"/>
          <w:szCs w:val="28"/>
        </w:rPr>
        <w:t xml:space="preserve"> четыре дня до дня установки или дня осуществления работ </w:t>
        <w:br/>
        <w:t xml:space="preserve">по настройке средств видеонаблюдения, в случае если средства видеонаблюдения устанавливать не требуется.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случае если в состав УИК не назначено достаточное число членов комиссии по предложениям пол</w:t>
      </w:r>
      <w:r>
        <w:rPr>
          <w:rFonts w:ascii="PT Astra Serif" w:hAnsi="PT Astra Serif"/>
          <w:sz w:val="28"/>
          <w:szCs w:val="28"/>
        </w:rPr>
        <w:t xml:space="preserve">итических партий, то для работы </w:t>
        <w:br/>
        <w:t xml:space="preserve">со средствами видеонаблюдения могут быть определены члены УИК, назначенные по предложениям иных субъектов выдвижения.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Члены УИК, осуществляющие работу со средствами видеонаблюдения, руководствуются Инструкцией по работе со </w:t>
      </w:r>
      <w:r>
        <w:rPr>
          <w:rFonts w:ascii="PT Astra Serif" w:hAnsi="PT Astra Serif"/>
          <w:sz w:val="28"/>
          <w:szCs w:val="28"/>
        </w:rPr>
        <w:t xml:space="preserve">средствами видеонаблюдения (приложение № 2 к Порядку).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Работа со средствами видеонаблюдения осуществляется </w:t>
        <w:br/>
        <w:t xml:space="preserve">с использованием служебного портала. Для доступа к функционалу служебного портала членам УИК, осуществляющим работу со средствами видеонаблюдения, не</w:t>
      </w:r>
      <w:r>
        <w:rPr>
          <w:rFonts w:ascii="PT Astra Serif" w:hAnsi="PT Astra Serif"/>
          <w:sz w:val="28"/>
          <w:szCs w:val="28"/>
        </w:rPr>
        <w:t xml:space="preserve">обходимо пройти авторизацию с использованием подтвержденной учетной записи ЕСИА, данные которой сопоставлены </w:t>
        <w:br/>
        <w:t xml:space="preserve">с данными Государственной автоматизированной системы Российской Федерации «Выборы» (далее – ГАС «Выборы»), а после авторизации пройти инструктаж в </w:t>
      </w:r>
      <w:r>
        <w:rPr>
          <w:rFonts w:ascii="PT Astra Serif" w:hAnsi="PT Astra Serif"/>
          <w:sz w:val="28"/>
          <w:szCs w:val="28"/>
        </w:rPr>
        <w:t xml:space="preserve">электронном виде с использованием средств служебного портала.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pacing w:val="6"/>
          <w:sz w:val="28"/>
          <w:szCs w:val="28"/>
        </w:rPr>
        <w:t xml:space="preserve">2</w:t>
      </w:r>
      <w:r>
        <w:rPr>
          <w:rFonts w:ascii="PT Astra Serif" w:hAnsi="PT Astra Serif"/>
          <w:sz w:val="28"/>
          <w:szCs w:val="28"/>
        </w:rPr>
        <w:t xml:space="preserve">.6. После установки (наладки) средств видеонаблюдения представителем технического оператора составляется акт об установке средств видеонаблюдения.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акте об установке средств видеонаблюдения </w:t>
      </w:r>
      <w:r>
        <w:rPr>
          <w:rFonts w:ascii="PT Astra Serif" w:hAnsi="PT Astra Serif"/>
          <w:sz w:val="28"/>
          <w:szCs w:val="28"/>
        </w:rPr>
        <w:t xml:space="preserve">указываются сведения </w:t>
        <w:br/>
        <w:t xml:space="preserve">о комплектности и работоспособности оборудования, настройке средств видеонаблюдения и доступности трансляции на служебном портале.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Акт об установке средств видеонаблюдения составляется </w:t>
        <w:br/>
        <w:t xml:space="preserve">в электронном виде с использованием средств служе</w:t>
      </w:r>
      <w:r>
        <w:rPr>
          <w:rFonts w:ascii="PT Astra Serif" w:hAnsi="PT Astra Serif"/>
          <w:sz w:val="28"/>
          <w:szCs w:val="28"/>
        </w:rPr>
        <w:t xml:space="preserve">бного портала </w:t>
        <w:br/>
        <w:t xml:space="preserve">и утверждается председателем (заместителем председателя) УИК. </w:t>
        <w:br/>
        <w:t xml:space="preserve">Для утверждения акта об установке средств видеонаблюдения председателю (заместителю председателя) УИК необходимо пройти авторизацию </w:t>
        <w:br/>
        <w:t xml:space="preserve">на служебном портале с использованием подтвержде</w:t>
      </w:r>
      <w:r>
        <w:rPr>
          <w:rFonts w:ascii="PT Astra Serif" w:hAnsi="PT Astra Serif"/>
          <w:sz w:val="28"/>
          <w:szCs w:val="28"/>
        </w:rPr>
        <w:t xml:space="preserve">нной учетной записи ЕСИА, данные которой сопоставлены с данными ГАС «Выборы». В случае отсутствия у председателя (заместителя председателя) УИК возможности утверждения акта об установке средств видеонаблюдения акт об установке средств видеонаблюдения может</w:t>
      </w:r>
      <w:r>
        <w:rPr>
          <w:rFonts w:ascii="PT Astra Serif" w:hAnsi="PT Astra Serif"/>
          <w:sz w:val="28"/>
          <w:szCs w:val="28"/>
        </w:rPr>
        <w:t xml:space="preserve"> быть утвержден председателем ТИК.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2.7. Не ранее 8.00 и не позднее 18.00 по местному времени в день, предшествующий дню (первому дню) голосования, члены УИК, осуществляющие работу со средствами видеонаблюдения, проводят тренировку, организованную техническ</w:t>
      </w:r>
      <w:r>
        <w:rPr>
          <w:rFonts w:ascii="PT Astra Serif" w:hAnsi="PT Astra Serif"/>
          <w:sz w:val="28"/>
          <w:szCs w:val="28"/>
        </w:rPr>
        <w:t xml:space="preserve">им оператором.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trike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ходе тренировки проверяется работоспособность средств видеонаблюдения, ракурсы камер, наличие электропитания (если оно отсутствует, то принимаются меры по его включению). Работа камер видеонаблюдения тестируется через служебный портал. </w:t>
      </w:r>
      <w:r>
        <w:rPr>
          <w:rFonts w:ascii="PT Astra Serif" w:hAnsi="PT Astra Serif"/>
          <w:strike/>
          <w:sz w:val="28"/>
          <w:szCs w:val="28"/>
        </w:rPr>
      </w:r>
      <w:r>
        <w:rPr>
          <w:rFonts w:ascii="PT Astra Serif" w:hAnsi="PT Astra Serif"/>
          <w:strike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</w:t>
      </w:r>
      <w:r>
        <w:rPr>
          <w:rFonts w:ascii="PT Astra Serif" w:hAnsi="PT Astra Serif"/>
          <w:sz w:val="28"/>
          <w:szCs w:val="28"/>
        </w:rPr>
        <w:t xml:space="preserve">едседатель УИК, а также вышестоящая ТИК и ИКСРФ осуществляют контроль за корректностью адреса УИК, указанного </w:t>
        <w:br/>
        <w:t xml:space="preserve">на служебном портале, и за соблюдением зон видимости камер видеонаблюдения.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ходе тренировки в помещении для голосования вправе присутствовать л</w:t>
      </w:r>
      <w:r>
        <w:rPr>
          <w:rFonts w:ascii="PT Astra Serif" w:hAnsi="PT Astra Serif"/>
          <w:sz w:val="28"/>
          <w:szCs w:val="28"/>
        </w:rPr>
        <w:t xml:space="preserve">ица, указанные в части 5 статьи 32 Федерального закона </w:t>
      </w:r>
      <w:r>
        <w:rPr>
          <w:rFonts w:ascii="PT Astra Serif" w:hAnsi="PT Astra Serif"/>
          <w:sz w:val="28"/>
          <w:szCs w:val="28"/>
        </w:rPr>
        <w:br/>
        <w:t xml:space="preserve">«О выборах депутатов Государственной Думы Федерального Собрания Российской Федерации» (далее – Федеральный закон).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По окончании тренировки средства видеонаблюдения остаются</w:t>
      </w:r>
      <w:r>
        <w:rPr>
          <w:rFonts w:ascii="PT Astra Serif" w:hAnsi="PT Astra Serif"/>
          <w:b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включенными. Категорически </w:t>
      </w:r>
      <w:r>
        <w:rPr>
          <w:rFonts w:ascii="PT Astra Serif" w:hAnsi="PT Astra Serif"/>
          <w:sz w:val="28"/>
          <w:szCs w:val="28"/>
        </w:rPr>
        <w:t xml:space="preserve">запрещается: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производить действия по выключению электропитания средств видеонаблюдения до завершения итогового заседания УИК и выдачи заверенных копий протоколов УИК об итогах голосования;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перемещать камеры видеонаблюдения, изменять фокусное расстояние кам</w:t>
      </w:r>
      <w:r>
        <w:rPr>
          <w:rFonts w:ascii="PT Astra Serif" w:hAnsi="PT Astra Serif"/>
          <w:sz w:val="28"/>
          <w:szCs w:val="28"/>
        </w:rPr>
        <w:t xml:space="preserve">ер видеонаблюдения;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перемещать из зон видимости камер видеонаблюдения технологическое оборудование УИК, столы и иное оборудование, </w:t>
        <w:br/>
        <w:t xml:space="preserve">за исключением случаев, когда членами УИК, осуществляющими работу </w:t>
        <w:br/>
        <w:t xml:space="preserve">со средствами видеонаблюдения, при контроле на служебном по</w:t>
      </w:r>
      <w:r>
        <w:rPr>
          <w:rFonts w:ascii="PT Astra Serif" w:hAnsi="PT Astra Serif"/>
          <w:sz w:val="28"/>
          <w:szCs w:val="28"/>
        </w:rPr>
        <w:t xml:space="preserve">ртале обнаружено, что в зонах видимости видеокамер не находится хотя бы один из объектов видеонаблюдения, указанных в пункте 2.1 Порядка;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производить действия, нарушающие функционирование средств видеонаблюдения, вмешиваться в процесс передачи или хранения</w:t>
      </w:r>
      <w:r>
        <w:rPr>
          <w:rFonts w:ascii="PT Astra Serif" w:hAnsi="PT Astra Serif"/>
          <w:sz w:val="28"/>
          <w:szCs w:val="28"/>
        </w:rPr>
        <w:t xml:space="preserve"> записываемой информации.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trike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2.8. В день (дни) голосования при наступлении времени голосования председатель УИК сообщает присутствующим о том, что в помещении для голосования ведутся видеонаблюдение, звуко- и видеозапись.</w:t>
      </w:r>
      <w:r>
        <w:rPr>
          <w:rFonts w:ascii="PT Astra Serif" w:hAnsi="PT Astra Serif"/>
          <w:strike/>
          <w:sz w:val="28"/>
          <w:szCs w:val="28"/>
        </w:rPr>
      </w:r>
      <w:r>
        <w:rPr>
          <w:rFonts w:ascii="PT Astra Serif" w:hAnsi="PT Astra Serif"/>
          <w:strike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2.9. После окончания времени голосова</w:t>
      </w:r>
      <w:r>
        <w:rPr>
          <w:rFonts w:ascii="PT Astra Serif" w:hAnsi="PT Astra Serif"/>
          <w:sz w:val="28"/>
          <w:szCs w:val="28"/>
        </w:rPr>
        <w:t xml:space="preserve">ния (при необходимости) члены УИК устанавливают технологическое и иное оборудование таким образом, чтобы соответствующие объекты видеонаблюдения находились в зонах видимости камер видеонаблюдения. Члены УИК, осуществляющие работу </w:t>
        <w:br/>
        <w:t xml:space="preserve">со средствами видеонаблюде</w:t>
      </w:r>
      <w:r>
        <w:rPr>
          <w:rFonts w:ascii="PT Astra Serif" w:hAnsi="PT Astra Serif"/>
          <w:sz w:val="28"/>
          <w:szCs w:val="28"/>
        </w:rPr>
        <w:t xml:space="preserve">ния, вышестоящие ТИК и ИКСРФ контролируют выполнение указанных требований.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2.10. Итоговое заседание УИК проводится в зоне видимости хотя бы одной из камер видеонаблюдения. После про</w:t>
      </w:r>
      <w:r>
        <w:rPr>
          <w:rFonts w:ascii="PT Astra Serif" w:hAnsi="PT Astra Serif"/>
          <w:sz w:val="28"/>
          <w:szCs w:val="28"/>
        </w:rPr>
        <w:t xml:space="preserve">ведения итогового заседания УИК и подписания протоколов УИК об итогах голосования председатель УИК демонстрирует присутствующим и в сторону одной из камер видеонаблюдения каждую страницу первого экземпляра протоколов УИК </w:t>
        <w:br/>
        <w:t xml:space="preserve">об итогах голосования, при этом мак</w:t>
      </w:r>
      <w:r>
        <w:rPr>
          <w:rFonts w:ascii="PT Astra Serif" w:hAnsi="PT Astra Serif"/>
          <w:sz w:val="28"/>
          <w:szCs w:val="28"/>
        </w:rPr>
        <w:t xml:space="preserve">симально близко (но не ближе 50 см) подходит к камере видеонаблюдения. Одновременно председатель УИК громко оглашает все данные протоколов УИК об итогах голосования, в том числе наименование и значение каждой строки протоколов, а также время их подписания.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2.11. Выдача заверенных копий протоколов УИК об итогах голосования наблюдателям и иным лицам, указанным в части 5 статьи 32 Федерального закона, проводится в зоне видимости хотя бы одной из камер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trike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2.12. При необходимости составления проток</w:t>
      </w:r>
      <w:r>
        <w:rPr>
          <w:rFonts w:ascii="PT Astra Serif" w:hAnsi="PT Astra Serif"/>
          <w:sz w:val="28"/>
          <w:szCs w:val="28"/>
        </w:rPr>
        <w:t xml:space="preserve">ола (протоколов) УИК </w:t>
        <w:br/>
        <w:t xml:space="preserve">об итогах голосования с отметкой «Повторный» либо реализации решения вышестоящей избирательной комиссии о проведении повторного подсчета голосов, составлении протокола (протоколов) УИК с отметкой «Повторный подсчет голосов» и проведени</w:t>
      </w:r>
      <w:r>
        <w:rPr>
          <w:rFonts w:ascii="PT Astra Serif" w:hAnsi="PT Astra Serif"/>
          <w:sz w:val="28"/>
          <w:szCs w:val="28"/>
        </w:rPr>
        <w:t xml:space="preserve">и указанной процедуры в помещении для голосования председатель ТИК возобновляет трансляцию изображения </w:t>
        <w:br/>
        <w:t xml:space="preserve">из помещения для голосования с использованием служебного портала либо по телефону горячей линии (следуя указанию автоинформатора).</w:t>
      </w:r>
      <w:r>
        <w:rPr>
          <w:rFonts w:ascii="PT Astra Serif" w:hAnsi="PT Astra Serif"/>
          <w:strike/>
          <w:sz w:val="28"/>
          <w:szCs w:val="28"/>
        </w:rPr>
      </w:r>
      <w:r>
        <w:rPr>
          <w:rFonts w:ascii="PT Astra Serif" w:hAnsi="PT Astra Serif"/>
          <w:strike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После завершения указа</w:t>
      </w:r>
      <w:r>
        <w:rPr>
          <w:rFonts w:ascii="PT Astra Serif" w:hAnsi="PT Astra Serif"/>
          <w:sz w:val="28"/>
          <w:szCs w:val="28"/>
        </w:rPr>
        <w:t xml:space="preserve">нных действий члены УИК приступают </w:t>
        <w:br/>
        <w:t xml:space="preserve">к составлению протоколов об итогах голосования с отметкой «Повторный» либо к повторному подсчету голосов. При этом производятся действия, предусмотренные пунктами 2.9–2.11 Порядка.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color w:val="000000" w:themeColor="text1"/>
          <w:sz w:val="28"/>
          <w:szCs w:val="28"/>
        </w:rPr>
      </w:pPr>
      <w:r>
        <w:rPr>
          <w:rFonts w:ascii="PT Astra Serif" w:hAnsi="PT Astra Serif"/>
          <w:color w:val="000000" w:themeColor="text1"/>
          <w:sz w:val="28"/>
          <w:szCs w:val="28"/>
        </w:rPr>
        <w:t xml:space="preserve">2.13. 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Все случаи прерывания трансляции а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втоматически фиксируются </w:t>
      </w:r>
      <w:r>
        <w:rPr>
          <w:rFonts w:ascii="PT Astra Serif" w:hAnsi="PT Astra Serif"/>
          <w:color w:val="000000" w:themeColor="text1"/>
          <w:sz w:val="28"/>
          <w:szCs w:val="28"/>
        </w:rPr>
        <w:br/>
        <w:t xml:space="preserve">на служебном портале и отражаются в акте восстановления работоспособности средства видеонаблюдения с указанием причины неработоспособности средства видеонаблюдения, длительности и времени устранения неисправности. Акт восстановлен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ия работоспособности средства видеонаблюдения составляется представителем технического оператора </w:t>
        <w:br/>
        <w:t xml:space="preserve">в электронном виде с использованием средств служебного портала </w:t>
        <w:br/>
        <w:t xml:space="preserve">и утверждается председателем (заместителем председат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еля) УИК.</w:t>
      </w:r>
      <w:r>
        <w:rPr>
          <w:rFonts w:ascii="PT Astra Serif" w:hAnsi="PT Astra Serif"/>
          <w:color w:val="000000" w:themeColor="text1"/>
          <w:sz w:val="28"/>
          <w:szCs w:val="28"/>
        </w:rPr>
      </w:r>
      <w:r>
        <w:rPr>
          <w:rFonts w:ascii="PT Astra Serif" w:hAnsi="PT Astra Serif"/>
          <w:color w:val="000000" w:themeColor="text1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/>
        <w:jc w:val="both"/>
        <w:rPr>
          <w:rFonts w:ascii="PT Astra Serif" w:hAnsi="PT Astra Serif"/>
          <w:color w:val="000000" w:themeColor="text1"/>
          <w:sz w:val="28"/>
          <w:szCs w:val="28"/>
          <w:highlight w:val="none"/>
        </w:rPr>
      </w:pPr>
      <w:r>
        <w:rPr>
          <w:rFonts w:ascii="PT Astra Serif" w:hAnsi="PT Astra Serif"/>
          <w:color w:val="000000" w:themeColor="text1"/>
          <w:sz w:val="28"/>
          <w:szCs w:val="28"/>
        </w:rPr>
        <w:t xml:space="preserve">В случае отсутствия у председателя (заместителя председателя) УИК возможности утверждения </w:t>
      </w:r>
      <w:r>
        <w:rPr>
          <w:rFonts w:ascii="PT Astra Serif" w:hAnsi="PT Astra Serif"/>
          <w:color w:val="000000" w:themeColor="text1"/>
          <w:sz w:val="28"/>
          <w:szCs w:val="20"/>
        </w:rPr>
        <w:t xml:space="preserve">электронного акта восстановления работоспособности средства видеонаблюдения 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акт </w:t>
      </w:r>
      <w:r>
        <w:rPr>
          <w:rFonts w:ascii="PT Astra Serif" w:hAnsi="PT Astra Serif"/>
          <w:color w:val="000000" w:themeColor="text1"/>
          <w:sz w:val="28"/>
          <w:szCs w:val="20"/>
        </w:rPr>
        <w:t xml:space="preserve">восстановления работоспособности средства видеонаблюдения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 может быть утвержден председ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ателем ТИК.</w:t>
      </w:r>
      <w:r>
        <w:rPr>
          <w:rFonts w:ascii="PT Astra Serif" w:hAnsi="PT Astra Serif"/>
          <w:color w:val="000000" w:themeColor="text1"/>
          <w:sz w:val="28"/>
          <w:szCs w:val="28"/>
        </w:rPr>
      </w:r>
      <w:r>
        <w:rPr>
          <w:rFonts w:ascii="PT Astra Serif" w:hAnsi="PT Astra Serif"/>
          <w:color w:val="000000" w:themeColor="text1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240" w:lineRule="auto"/>
        <w:ind w:firstLine="709"/>
        <w:contextualSpacing/>
        <w:jc w:val="both"/>
        <w:rPr>
          <w:rFonts w:ascii="PT Astra Serif" w:hAnsi="PT Astra Serif"/>
          <w:color w:val="000000" w:themeColor="text1"/>
          <w:sz w:val="28"/>
          <w:szCs w:val="28"/>
        </w:rPr>
      </w:pPr>
      <w:r>
        <w:rPr>
          <w:rFonts w:ascii="PT Astra Serif" w:hAnsi="PT Astra Serif"/>
          <w:color w:val="000000" w:themeColor="text1"/>
          <w:sz w:val="28"/>
          <w:szCs w:val="28"/>
          <w:highlight w:val="none"/>
        </w:rPr>
      </w:r>
      <w:r>
        <w:rPr>
          <w:rFonts w:ascii="PT Astra Serif" w:hAnsi="PT Astra Serif"/>
          <w:color w:val="000000" w:themeColor="text1"/>
          <w:sz w:val="28"/>
          <w:szCs w:val="28"/>
          <w:highlight w:val="none"/>
        </w:rPr>
      </w:r>
    </w:p>
    <w:p>
      <w:pPr>
        <w:keepNext/>
        <w:spacing w:after="0" w:afterAutospacing="0"/>
        <w:contextualSpacing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3. Применение средств видеонаблюдения в помещении ТИК, 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keepNext/>
        <w:spacing w:after="0" w:afterAutospacing="0"/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помещении ТИК ДЭГ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keepNext/>
        <w:spacing w:after="0" w:afterAutospacing="0"/>
        <w:contextualSpacing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3.1. Объектами видеонаблюдения в помещении ТИК являются: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место, где осуществляются прием протоколов УИК об итогах голосования; суммирование данных, содержащихся в этих</w:t>
      </w:r>
      <w:r>
        <w:rPr>
          <w:rFonts w:ascii="PT Astra Serif" w:hAnsi="PT Astra Serif"/>
          <w:sz w:val="28"/>
          <w:szCs w:val="28"/>
        </w:rPr>
        <w:t xml:space="preserve"> протоколах; проведение итогового заседания ТИК и составление протоколов ТИК </w:t>
        <w:br/>
        <w:t xml:space="preserve">об итогах голосования на соответствующей территории;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место, где расположены увеличенные формы сводных таблиц ТИК;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место, где осуществляются подсчет и погашение неиспользованных </w:t>
      </w:r>
      <w:r>
        <w:rPr>
          <w:rFonts w:ascii="PT Astra Serif" w:hAnsi="PT Astra Serif"/>
          <w:sz w:val="28"/>
          <w:szCs w:val="28"/>
        </w:rPr>
        <w:t xml:space="preserve">бюллетеней, хранящихся в ТИК.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tabs>
          <w:tab w:val="left" w:pos="0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Объектами видеонаблюдения в помещении ТИК ДЭГ являются места, где осуществляется загрузка исходных данных в распределенную базу данных ПТК ДЭГ для составления списков участников дистанционного электронного голосования, для фор</w:t>
      </w:r>
      <w:r>
        <w:rPr>
          <w:rFonts w:ascii="PT Astra Serif" w:hAnsi="PT Astra Serif"/>
          <w:sz w:val="28"/>
          <w:szCs w:val="28"/>
        </w:rPr>
        <w:t xml:space="preserve">мирования электронных бюллетеней; формирование комплекта ключей (ключа зашифрования и разделенного </w:t>
        <w:br/>
        <w:t xml:space="preserve">на несколько частей ключа расшифрования); передача лицам, определенным решением ТИК ДЭГ, внешних носителей информации с частями ключа расшифрования; формиров</w:t>
      </w:r>
      <w:r>
        <w:rPr>
          <w:rFonts w:ascii="PT Astra Serif" w:hAnsi="PT Astra Serif"/>
          <w:sz w:val="28"/>
          <w:szCs w:val="28"/>
        </w:rPr>
        <w:t xml:space="preserve">ание списков участников дистанционного электронного голосования в электронном виде и записи их на внешний носитель информации; сборка ключа расшифрования; процедура расшифрования результатов волеизъявления участников дистанционного электронного голосования</w:t>
      </w:r>
      <w:r>
        <w:rPr>
          <w:rFonts w:ascii="PT Astra Serif" w:hAnsi="PT Astra Serif"/>
          <w:sz w:val="28"/>
          <w:szCs w:val="28"/>
        </w:rPr>
        <w:t xml:space="preserve">; формирование протокола ТИК ДЭГ об итогах дистанционного электронного голосования; запись данных об итогах дистанционного электронного голосования на однократно записываемый носитель информации.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3.2. Место размещения средств видеонаблюдения и иного оборуд</w:t>
      </w:r>
      <w:r>
        <w:rPr>
          <w:rFonts w:ascii="PT Astra Serif" w:hAnsi="PT Astra Serif"/>
          <w:sz w:val="28"/>
          <w:szCs w:val="28"/>
        </w:rPr>
        <w:t xml:space="preserve">ования в помещении ТИК, помещении ТИК ДЭГ определяет ТИК, ТИК ДЭГ по согласованию с владельцем помещения (иным ответственным лицом)</w:t>
      </w:r>
      <w:r>
        <w:rPr>
          <w:rFonts w:ascii="PT Astra Serif" w:hAnsi="PT Astra Serif"/>
          <w:sz w:val="28"/>
          <w:szCs w:val="28"/>
        </w:rPr>
        <w:t xml:space="preserve"> и с учетом рекомендаций представителя технического оператора. Камеры видеонаблюдения должны располагаться таким образом, чт</w:t>
      </w:r>
      <w:r>
        <w:rPr>
          <w:rFonts w:ascii="PT Astra Serif" w:hAnsi="PT Astra Serif"/>
          <w:sz w:val="28"/>
          <w:szCs w:val="28"/>
        </w:rPr>
        <w:t xml:space="preserve">обы </w:t>
        <w:br/>
        <w:t xml:space="preserve">в зоне их видимости располагались все объекты наблюдения, указанные </w:t>
        <w:br/>
        <w:t xml:space="preserve">в пункте 3.1 Порядка.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pacing w:val="-1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3.3. </w:t>
      </w:r>
      <w:r>
        <w:rPr>
          <w:rFonts w:ascii="PT Astra Serif" w:hAnsi="PT Astra Serif"/>
          <w:spacing w:val="-1"/>
          <w:sz w:val="28"/>
          <w:szCs w:val="28"/>
        </w:rPr>
        <w:t xml:space="preserve">После определения мест размещения камер видеонаблюдения</w:t>
      </w:r>
      <w:r>
        <w:rPr>
          <w:rFonts w:ascii="PT Astra Serif" w:hAnsi="PT Astra Serif"/>
          <w:b/>
          <w:spacing w:val="-1"/>
          <w:sz w:val="28"/>
          <w:szCs w:val="28"/>
        </w:rPr>
        <w:t xml:space="preserve"> </w:t>
      </w:r>
      <w:r>
        <w:rPr>
          <w:rFonts w:ascii="PT Astra Serif" w:hAnsi="PT Astra Serif"/>
          <w:spacing w:val="-1"/>
          <w:sz w:val="28"/>
          <w:szCs w:val="28"/>
        </w:rPr>
        <w:t xml:space="preserve">соответствующая ТИК, ТИК ДЭГ составляет схему размещения средств видеонаблюдения, обозначая на ней зо</w:t>
      </w:r>
      <w:r>
        <w:rPr>
          <w:rFonts w:ascii="PT Astra Serif" w:hAnsi="PT Astra Serif"/>
          <w:spacing w:val="-1"/>
          <w:sz w:val="28"/>
          <w:szCs w:val="28"/>
        </w:rPr>
        <w:t xml:space="preserve">ну видимости каждой камеры видеонаблюдения и размещение столов и иного оборудования. </w:t>
      </w:r>
      <w:r>
        <w:rPr>
          <w:rFonts w:ascii="PT Astra Serif" w:hAnsi="PT Astra Serif"/>
          <w:spacing w:val="-1"/>
          <w:sz w:val="28"/>
          <w:szCs w:val="28"/>
        </w:rPr>
      </w:r>
      <w:r>
        <w:rPr>
          <w:rFonts w:ascii="PT Astra Serif" w:hAnsi="PT Astra Serif"/>
          <w:spacing w:val="-1"/>
          <w:sz w:val="28"/>
          <w:szCs w:val="28"/>
        </w:rPr>
      </w:r>
    </w:p>
    <w:p>
      <w:pPr>
        <w:suppressLineNumbers w:val="0"/>
        <w:tabs>
          <w:tab w:val="left" w:pos="2694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pacing w:val="-1"/>
          <w:sz w:val="28"/>
          <w:szCs w:val="28"/>
        </w:rPr>
      </w:pPr>
      <w:r>
        <w:rPr>
          <w:rFonts w:ascii="PT Astra Serif" w:hAnsi="PT Astra Serif"/>
          <w:spacing w:val="-1"/>
          <w:sz w:val="28"/>
          <w:szCs w:val="28"/>
        </w:rPr>
        <w:t xml:space="preserve">Указанная выше схема подписывается представителем технического оператора, председателем ТИК, ТИК ДЭГ и согласовывается с владельцем помещения (иным ответственным лицом). </w:t>
      </w:r>
      <w:r>
        <w:rPr>
          <w:rFonts w:ascii="PT Astra Serif" w:hAnsi="PT Astra Serif"/>
          <w:spacing w:val="-1"/>
          <w:sz w:val="28"/>
          <w:szCs w:val="28"/>
        </w:rPr>
        <w:t xml:space="preserve">Скан-копия подписанной схемы загружается на служебный портал, оригинал схемы или ее копия размещается в помещении ТИК, ТИК ДЭГ. </w:t>
      </w:r>
      <w:r>
        <w:rPr>
          <w:rFonts w:ascii="PT Astra Serif" w:hAnsi="PT Astra Serif"/>
          <w:spacing w:val="-1"/>
          <w:sz w:val="28"/>
          <w:szCs w:val="28"/>
        </w:rPr>
      </w:r>
      <w:r>
        <w:rPr>
          <w:rFonts w:ascii="PT Astra Serif" w:hAnsi="PT Astra Serif"/>
          <w:spacing w:val="-1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3.4. Представитель технического оператора устанавливает средства видеонаблюдения в соответствии с указанной в пункте 3.3 Порядка схемой. При этом камеры видеонаблюдения устанавливаются на высоте, обеспечивающей отсутствие помех для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pacing w:val="2"/>
          <w:sz w:val="28"/>
          <w:szCs w:val="28"/>
        </w:rPr>
      </w:pPr>
      <w:r>
        <w:rPr>
          <w:rFonts w:ascii="PT Astra Serif" w:hAnsi="PT Astra Serif"/>
          <w:spacing w:val="2"/>
          <w:sz w:val="28"/>
          <w:szCs w:val="28"/>
        </w:rPr>
        <w:t xml:space="preserve">Предста</w:t>
      </w:r>
      <w:r>
        <w:rPr>
          <w:rFonts w:ascii="PT Astra Serif" w:hAnsi="PT Astra Serif"/>
          <w:spacing w:val="2"/>
          <w:sz w:val="28"/>
          <w:szCs w:val="28"/>
        </w:rPr>
        <w:t xml:space="preserve">витель технического оператора проводит настройку камер видеонаблюдения, проверку их работоспособности в соответствии с эксплуатационной документацией и требованиями Порядка.</w:t>
      </w:r>
      <w:r>
        <w:rPr>
          <w:rFonts w:ascii="PT Astra Serif" w:hAnsi="PT Astra Serif"/>
          <w:spacing w:val="2"/>
          <w:sz w:val="28"/>
          <w:szCs w:val="28"/>
        </w:rPr>
      </w:r>
      <w:r>
        <w:rPr>
          <w:rFonts w:ascii="PT Astra Serif" w:hAnsi="PT Astra Serif"/>
          <w:spacing w:val="2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3.5. Работу со средствами видеонаблюдения осуществляют не менее двух членов ТИК, </w:t>
      </w:r>
      <w:r>
        <w:rPr>
          <w:rFonts w:ascii="PT Astra Serif" w:hAnsi="PT Astra Serif"/>
          <w:spacing w:val="-1"/>
          <w:sz w:val="28"/>
          <w:szCs w:val="28"/>
        </w:rPr>
        <w:t xml:space="preserve">Т</w:t>
      </w:r>
      <w:r>
        <w:rPr>
          <w:rFonts w:ascii="PT Astra Serif" w:hAnsi="PT Astra Serif"/>
          <w:spacing w:val="-1"/>
          <w:sz w:val="28"/>
          <w:szCs w:val="28"/>
        </w:rPr>
        <w:t xml:space="preserve">ИК ДЭГ, </w:t>
      </w:r>
      <w:r>
        <w:rPr>
          <w:rFonts w:ascii="PT Astra Serif" w:hAnsi="PT Astra Serif"/>
          <w:sz w:val="28"/>
          <w:szCs w:val="28"/>
        </w:rPr>
        <w:t xml:space="preserve">назначенных в состав ТИК,</w:t>
      </w:r>
      <w:r>
        <w:rPr>
          <w:rFonts w:ascii="PT Astra Serif" w:hAnsi="PT Astra Serif"/>
          <w:spacing w:val="-1"/>
          <w:sz w:val="28"/>
          <w:szCs w:val="28"/>
        </w:rPr>
        <w:t xml:space="preserve"> ТИК ДЭГ</w:t>
      </w:r>
      <w:r>
        <w:rPr>
          <w:rFonts w:ascii="PT Astra Serif" w:hAnsi="PT Astra Serif"/>
          <w:sz w:val="28"/>
          <w:szCs w:val="28"/>
        </w:rPr>
        <w:t xml:space="preserve"> </w:t>
        <w:br/>
        <w:t xml:space="preserve">по предложениям политических партий (далее соответственно – члены ТИК, осуществляющие работу со средствами видеонаблюдения; члены ТИК ДЭГ, осуществляющие работу со средствами видеонаблюдения) и определенных решение</w:t>
      </w:r>
      <w:r>
        <w:rPr>
          <w:rFonts w:ascii="PT Astra Serif" w:hAnsi="PT Astra Serif"/>
          <w:sz w:val="28"/>
          <w:szCs w:val="28"/>
        </w:rPr>
        <w:t xml:space="preserve">м ТИК, ТИК ДЭГ </w:t>
      </w:r>
      <w:r>
        <w:rPr>
          <w:rFonts w:ascii="PT Astra Serif" w:hAnsi="PT Astra Serif"/>
          <w:sz w:val="28"/>
        </w:rPr>
        <w:t xml:space="preserve">н</w:t>
      </w:r>
      <w:r>
        <w:rPr>
          <w:rFonts w:ascii="PT Astra Serif" w:hAnsi="PT Astra Serif"/>
          <w:sz w:val="28"/>
          <w:szCs w:val="28"/>
        </w:rPr>
        <w:t xml:space="preserve">е позднее чем за четыре дня до дня установки или дня осуществления работ по настройке средств видеонаблюдения, </w:t>
        <w:br/>
        <w:t xml:space="preserve">в случае если средства видеонаблюдения устанавливать не требуется.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случае если в состав ТИК не назначено достаточное число чле</w:t>
      </w:r>
      <w:r>
        <w:rPr>
          <w:rFonts w:ascii="PT Astra Serif" w:hAnsi="PT Astra Serif"/>
          <w:sz w:val="28"/>
          <w:szCs w:val="28"/>
        </w:rPr>
        <w:t xml:space="preserve">нов комиссии по предложениям политических партий, то для работы </w:t>
        <w:br/>
        <w:t xml:space="preserve">со средствами видеонаблюдения могут быть определены члены ТИК, назначенные по предложениям иных субъектов выдвижения.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Члены ТИК, осуществляющие работу со средствами видеонаблюдения,</w:t>
      </w:r>
      <w:r>
        <w:rPr>
          <w:rFonts w:ascii="PT Astra Serif" w:hAnsi="PT Astra Serif"/>
          <w:spacing w:val="-1"/>
          <w:sz w:val="28"/>
          <w:szCs w:val="28"/>
        </w:rPr>
        <w:t xml:space="preserve"> члены ТИК</w:t>
      </w:r>
      <w:r>
        <w:rPr>
          <w:rFonts w:ascii="PT Astra Serif" w:hAnsi="PT Astra Serif"/>
          <w:spacing w:val="-1"/>
          <w:sz w:val="28"/>
          <w:szCs w:val="28"/>
        </w:rPr>
        <w:t xml:space="preserve"> ДЭГ,</w:t>
      </w:r>
      <w:r>
        <w:rPr>
          <w:rFonts w:ascii="PT Astra Serif" w:hAnsi="PT Astra Serif"/>
          <w:sz w:val="28"/>
          <w:szCs w:val="28"/>
        </w:rPr>
        <w:t xml:space="preserve"> осуществляющие работу со средствами видеонаблюдения, руководствуются Инструкцией по работе со средствами видеонаблюдения (приложение № 2 к Порядку).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widowControl w:val="off"/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Работа со средствами видеонаблюдения осуществляется </w:t>
      </w:r>
      <w:r>
        <w:rPr>
          <w:rFonts w:ascii="PT Astra Serif" w:hAnsi="PT Astra Serif"/>
          <w:sz w:val="28"/>
          <w:szCs w:val="28"/>
        </w:rPr>
        <w:br/>
        <w:t xml:space="preserve">с использованием служебного портала. Для доступа</w:t>
      </w:r>
      <w:r>
        <w:rPr>
          <w:rFonts w:ascii="PT Astra Serif" w:hAnsi="PT Astra Serif"/>
          <w:sz w:val="28"/>
          <w:szCs w:val="28"/>
        </w:rPr>
        <w:t xml:space="preserve"> к функционалу служебного портала членам ТИК, осуществляющим работу со средствами видеонаблюдения, членам </w:t>
      </w:r>
      <w:r>
        <w:rPr>
          <w:rFonts w:ascii="PT Astra Serif" w:hAnsi="PT Astra Serif"/>
          <w:spacing w:val="-1"/>
          <w:sz w:val="28"/>
          <w:szCs w:val="28"/>
        </w:rPr>
        <w:t xml:space="preserve">ТИК ДЭГ, </w:t>
      </w:r>
      <w:r>
        <w:rPr>
          <w:rFonts w:ascii="PT Astra Serif" w:hAnsi="PT Astra Serif"/>
          <w:sz w:val="28"/>
          <w:szCs w:val="28"/>
        </w:rPr>
        <w:t xml:space="preserve">осуществляющим работу со средствам</w:t>
      </w:r>
      <w:r>
        <w:rPr>
          <w:rFonts w:ascii="PT Astra Serif" w:hAnsi="PT Astra Serif"/>
          <w:sz w:val="28"/>
          <w:szCs w:val="28"/>
        </w:rPr>
        <w:t xml:space="preserve">и видеонаблюдения, необходимо пройти авторизацию с использованием подтвержденной учетной записи ЕСИА, данные которой сопоставлены </w:t>
        <w:br/>
        <w:t xml:space="preserve">с данными ГАС «Выборы», а после авторизации пройти инструктаж </w:t>
        <w:br/>
        <w:t xml:space="preserve">в электронном виде с использованием средств служебного портала.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3.6. После установки (наладки) средств видеонаблюдения составляется акт об установке средств видеонаблюдения.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акте об установке средств видеонаблюдения указываются сведения </w:t>
        <w:br/>
        <w:t xml:space="preserve">о комплектности и работоспособности оборудования, настройке средства видеонаблю</w:t>
      </w:r>
      <w:r>
        <w:rPr>
          <w:rFonts w:ascii="PT Astra Serif" w:hAnsi="PT Astra Serif"/>
          <w:sz w:val="28"/>
          <w:szCs w:val="28"/>
        </w:rPr>
        <w:t xml:space="preserve">дения и доступности трансляции на служебном портале.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Акт об установке средств видеонаблюдения составляется </w:t>
        <w:br/>
        <w:t xml:space="preserve">в электронном виде с использованием средств служебного портала </w:t>
        <w:br/>
        <w:t xml:space="preserve">и утверждается председателем ТИК</w:t>
      </w:r>
      <w:r>
        <w:rPr>
          <w:rFonts w:ascii="PT Astra Serif" w:hAnsi="PT Astra Serif"/>
          <w:spacing w:val="-1"/>
          <w:sz w:val="28"/>
          <w:szCs w:val="28"/>
        </w:rPr>
        <w:t xml:space="preserve">, ТИК ДЭГ</w:t>
      </w:r>
      <w:r>
        <w:rPr>
          <w:rFonts w:ascii="PT Astra Serif" w:hAnsi="PT Astra Serif"/>
          <w:sz w:val="28"/>
          <w:szCs w:val="28"/>
        </w:rPr>
        <w:t xml:space="preserve">. Для утверждения акта </w:t>
        <w:br/>
        <w:t xml:space="preserve">об установке средств </w:t>
      </w:r>
      <w:r>
        <w:rPr>
          <w:rFonts w:ascii="PT Astra Serif" w:hAnsi="PT Astra Serif"/>
          <w:sz w:val="28"/>
          <w:szCs w:val="28"/>
        </w:rPr>
        <w:t xml:space="preserve">видеонаблюдения председателю ТИК</w:t>
      </w:r>
      <w:r>
        <w:rPr>
          <w:rFonts w:ascii="PT Astra Serif" w:hAnsi="PT Astra Serif"/>
          <w:spacing w:val="-1"/>
          <w:sz w:val="28"/>
          <w:szCs w:val="28"/>
        </w:rPr>
        <w:t xml:space="preserve">, ТИК ДЭГ</w:t>
      </w:r>
      <w:r>
        <w:rPr>
          <w:rFonts w:ascii="PT Astra Serif" w:hAnsi="PT Astra Serif"/>
          <w:sz w:val="28"/>
          <w:szCs w:val="28"/>
        </w:rPr>
        <w:t xml:space="preserve"> необходимо пройти авторизацию на служебном портале с использованием подтвержденной учетной записи ЕСИА, данные которой сопоставлены </w:t>
        <w:br/>
        <w:t xml:space="preserve">с ГАС «Выборы».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3.7. Не ранее 8.00 и не позднее 18.00 по местному времени в день, </w:t>
      </w:r>
      <w:r>
        <w:rPr>
          <w:rFonts w:ascii="PT Astra Serif" w:hAnsi="PT Astra Serif"/>
          <w:sz w:val="28"/>
          <w:szCs w:val="28"/>
        </w:rPr>
        <w:t xml:space="preserve">предшествующий дню (первому дню) голосования, члены ТИК, осуществляющие работу со средствами видеонаблюдения, проводят тренировку, организованную техническим оператором.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Не ранее 8.00 и не позднее 18.00 по московскому времени за день </w:t>
        <w:br/>
        <w:t xml:space="preserve">до дня (первого дня) г</w:t>
      </w:r>
      <w:r>
        <w:rPr>
          <w:rFonts w:ascii="PT Astra Serif" w:hAnsi="PT Astra Serif"/>
          <w:sz w:val="28"/>
          <w:szCs w:val="28"/>
        </w:rPr>
        <w:t xml:space="preserve">олосования члены ТИК ДЭГ, осуществляющие работу со средствами видеонаблюдения, проводят тренировку, организованную техническим оператором.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ходе тренировки проверяется работоспособность средств видеонаблюдения, ракурсы камер, наличие электропитания (если</w:t>
      </w:r>
      <w:r>
        <w:rPr>
          <w:rFonts w:ascii="PT Astra Serif" w:hAnsi="PT Astra Serif"/>
          <w:sz w:val="28"/>
          <w:szCs w:val="28"/>
        </w:rPr>
        <w:t xml:space="preserve"> оно отсутствует, то принимаются меры по его включению). Работа камер видеонаблюдения тестируется через служебный портал.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Председатель ТИК, а также вышестоящая ИКСРФ осуществляют контроль за достоверностью адреса ТИК, указанного на служебном портале, пред</w:t>
      </w:r>
      <w:r>
        <w:rPr>
          <w:rFonts w:ascii="PT Astra Serif" w:hAnsi="PT Astra Serif"/>
          <w:sz w:val="28"/>
          <w:szCs w:val="28"/>
        </w:rPr>
        <w:t xml:space="preserve">седатель ТИК ДЭГ – за достоверностью адреса ТИК ДЭГ, указанного </w:t>
        <w:br/>
        <w:t xml:space="preserve">на служебном портале, и за соблюдением зон видимости камер видеонаблюдения.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u w:val="single"/>
        </w:rPr>
      </w:pPr>
      <w:r>
        <w:rPr>
          <w:rFonts w:ascii="PT Astra Serif" w:hAnsi="PT Astra Serif"/>
          <w:sz w:val="28"/>
          <w:szCs w:val="28"/>
        </w:rPr>
        <w:t xml:space="preserve">В ходе тренировки в помещении ТИК вправе присутствовать лица, указанные в части 5 статьи 32 Федерального закона (в помещении</w:t>
        <w:br/>
        <w:t xml:space="preserve">ТИК ДЭГ – лица, указанные в порядке дистанционного электронного голос</w:t>
      </w:r>
      <w:r>
        <w:rPr>
          <w:rFonts w:ascii="PT Astra Serif" w:hAnsi="PT Astra Serif"/>
          <w:sz w:val="28"/>
          <w:szCs w:val="28"/>
        </w:rPr>
        <w:t xml:space="preserve">ования, утверждаемом ЦИК России). </w:t>
      </w:r>
      <w:r>
        <w:rPr>
          <w:rFonts w:ascii="PT Astra Serif" w:hAnsi="PT Astra Serif"/>
          <w:sz w:val="28"/>
          <w:szCs w:val="28"/>
          <w:u w:val="single"/>
        </w:rPr>
      </w:r>
      <w:r>
        <w:rPr>
          <w:rFonts w:ascii="PT Astra Serif" w:hAnsi="PT Astra Serif"/>
          <w:sz w:val="28"/>
          <w:szCs w:val="28"/>
          <w:u w:val="singl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После окончания тренировки средства видеонаблюдения остаются</w:t>
      </w:r>
      <w:r>
        <w:rPr>
          <w:rFonts w:ascii="PT Astra Serif" w:hAnsi="PT Astra Serif"/>
          <w:b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включенными. Категорически запрещается: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производить действия по выключению электропитания средств видеонаблюдения до окончания заседания ТИК, на котором устанавл</w:t>
      </w:r>
      <w:r>
        <w:rPr>
          <w:rFonts w:ascii="PT Astra Serif" w:hAnsi="PT Astra Serif"/>
          <w:sz w:val="28"/>
          <w:szCs w:val="28"/>
        </w:rPr>
        <w:t xml:space="preserve">иваются итоги голосования на соответствующей территории, и выдачи заверенных копий протоколов ТИК об итогах голосования (в ТИК ДЭГ – до размещения протокола ТИК ДЭГ в сети Интернет на портале наблюдения ПТК ДЭГ </w:t>
        <w:br/>
        <w:t xml:space="preserve">и на официальном сайте ЦИК России);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перемещат</w:t>
      </w:r>
      <w:r>
        <w:rPr>
          <w:rFonts w:ascii="PT Astra Serif" w:hAnsi="PT Astra Serif"/>
          <w:sz w:val="28"/>
          <w:szCs w:val="28"/>
        </w:rPr>
        <w:t xml:space="preserve">ь камеры видеонаблюдения, изменять фокусное расстояние камер видеонаблюдения;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перемещать из зоны видимости камер видеонаблюдения столы, иное оборудование, за исключением случаев, когда членами ТИК, осуществляющими работу со средствами видеонаблюдения, член</w:t>
      </w:r>
      <w:r>
        <w:rPr>
          <w:rFonts w:ascii="PT Astra Serif" w:hAnsi="PT Astra Serif"/>
          <w:sz w:val="28"/>
          <w:szCs w:val="28"/>
        </w:rPr>
        <w:t xml:space="preserve">ами </w:t>
      </w:r>
      <w:r>
        <w:rPr>
          <w:rFonts w:ascii="PT Astra Serif" w:hAnsi="PT Astra Serif"/>
          <w:sz w:val="28"/>
          <w:szCs w:val="28"/>
        </w:rPr>
        <w:br/>
        <w:t xml:space="preserve">ТИК ДЭГ, осуществляющими работу со средствами видеонаблюдения, при контроле на служебном портале обнаружено, что в зоне видимости видеокамер не находится хотя бы один из объектов видеонаблюдения, указанных в пункте 3.1 Порядка;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производить действия, н</w:t>
      </w:r>
      <w:r>
        <w:rPr>
          <w:rFonts w:ascii="PT Astra Serif" w:hAnsi="PT Astra Serif"/>
          <w:sz w:val="28"/>
          <w:szCs w:val="28"/>
        </w:rPr>
        <w:t xml:space="preserve">арушающие функционирование средств видеонаблюдения, вмешиваться в процесс передачи или хранения записываемой информации.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3.8. В 8.00 по московскому времени в день, предшествующий дню (первому дню) голосования, председатель ТИК ДЭГ сообщает присутствующим о</w:t>
      </w:r>
      <w:r>
        <w:rPr>
          <w:rFonts w:ascii="PT Astra Serif" w:hAnsi="PT Astra Serif"/>
          <w:sz w:val="28"/>
          <w:szCs w:val="28"/>
        </w:rPr>
        <w:t xml:space="preserve"> том, что в помещении ТИК ДЭГ ведутся видеонаблюдение, звуко- и видеозапись;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20.00 по местному времени в день (последний день) голосования председатель ТИК сообщает присутствующим о том, что в помещении ТИК ведутся видеонаблюдение, звуко- и видеозапись.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3.9. Прием ТИК протоколов УИК об итогах голосования, внесение данных протоколов УИК об итогах голосования в увеличенные формы сводных таблиц ТИК, суммирование данных, содержащихся в данных протоколах, составление протоколов ТИК об итогах голосования </w:t>
        <w:br/>
        <w:t xml:space="preserve">на соо</w:t>
      </w:r>
      <w:r>
        <w:rPr>
          <w:rFonts w:ascii="PT Astra Serif" w:hAnsi="PT Astra Serif"/>
          <w:sz w:val="28"/>
          <w:szCs w:val="28"/>
        </w:rPr>
        <w:t xml:space="preserve">тветствующей территории и проведение итогового заседания ТИК должны производиться в зоне видимости хотя бы одной из камер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Члены ТИК, осуществляющие работу со средствами видеонаблюдения, и вышестоящая ИКСРФ на служебном портале осуществляют контроль </w:t>
        <w:br/>
        <w:t xml:space="preserve">за выполнением указанного требования.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Процедура разделения, а также сборки ключа расшифрования </w:t>
        <w:br/>
        <w:t xml:space="preserve">в помещении ТИК ДЭГ должны произво</w:t>
      </w:r>
      <w:r>
        <w:rPr>
          <w:rFonts w:ascii="PT Astra Serif" w:hAnsi="PT Astra Serif"/>
          <w:sz w:val="28"/>
          <w:szCs w:val="28"/>
        </w:rPr>
        <w:t xml:space="preserve">диться в зоне видимости хотя бы одной из камер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trike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3.10. При необходимости составления протокола (протоколов) ТИК </w:t>
        <w:br/>
        <w:t xml:space="preserve">об итогах голосования с отметкой «Повторный», сводной таблицы (сводных таблиц) с отметкой «Повторная» председатель ТИК возобновля</w:t>
      </w:r>
      <w:r>
        <w:rPr>
          <w:rFonts w:ascii="PT Astra Serif" w:hAnsi="PT Astra Serif"/>
          <w:sz w:val="28"/>
          <w:szCs w:val="28"/>
        </w:rPr>
        <w:t xml:space="preserve">ет трансляцию изображения из помещения ТИК с использованием служебного портала либо по телефону горячей линии (следуя указанию автоинформатора). </w:t>
      </w:r>
      <w:r>
        <w:rPr>
          <w:rFonts w:ascii="PT Astra Serif" w:hAnsi="PT Astra Serif"/>
          <w:strike/>
          <w:sz w:val="28"/>
          <w:szCs w:val="28"/>
        </w:rPr>
      </w:r>
      <w:r>
        <w:rPr>
          <w:rFonts w:ascii="PT Astra Serif" w:hAnsi="PT Astra Serif"/>
          <w:strike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После завершения указанных действий члены ТИК приступают </w:t>
        <w:br/>
        <w:t xml:space="preserve">к составлению протокола (протоколов) ТИК об итогах го</w:t>
      </w:r>
      <w:r>
        <w:rPr>
          <w:rFonts w:ascii="PT Astra Serif" w:hAnsi="PT Astra Serif"/>
          <w:sz w:val="28"/>
          <w:szCs w:val="28"/>
        </w:rPr>
        <w:t xml:space="preserve">лосования </w:t>
        <w:br/>
        <w:t xml:space="preserve">с пометкой «Повторный», сводной таблицы (сводных таблиц) с отметкой «Повторная». При этом производятся действия, предусмотренные пунктом 3.9 Порядка.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3.11. Все случаи прерывания трансляции автоматически фиксируются на служебном портале и отражают</w:t>
      </w:r>
      <w:r>
        <w:rPr>
          <w:rFonts w:ascii="PT Astra Serif" w:hAnsi="PT Astra Serif"/>
          <w:sz w:val="28"/>
          <w:szCs w:val="28"/>
        </w:rPr>
        <w:t xml:space="preserve">ся в акте восстановления работоспособности средства видеонаблюдения с указанием причины неработоспособности средства видеонаблюдения, длительности и времени устранения неисправности. Акт восстановления работоспособности средства видеонаблюдения составляетс</w:t>
      </w:r>
      <w:r>
        <w:rPr>
          <w:rFonts w:ascii="PT Astra Serif" w:hAnsi="PT Astra Serif"/>
          <w:sz w:val="28"/>
          <w:szCs w:val="28"/>
        </w:rPr>
        <w:t xml:space="preserve">я представителем технического оператора </w:t>
        <w:br/>
        <w:t xml:space="preserve">в электронном виде с использованием средств служебного портала </w:t>
        <w:br/>
        <w:t xml:space="preserve">и утверждается председателем (заместителем председателя) ТИК, ТИК ДЭГ.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24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keepNext/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bCs/>
          <w:color w:val="000000" w:themeColor="text1"/>
          <w:sz w:val="28"/>
          <w:szCs w:val="28"/>
          <w:highlight w:val="none"/>
        </w:rPr>
      </w:pPr>
      <w:r>
        <w:rPr>
          <w:rFonts w:ascii="PT Astra Serif" w:hAnsi="PT Astra Serif"/>
          <w:b/>
          <w:color w:val="000000" w:themeColor="text1"/>
          <w:sz w:val="28"/>
          <w:szCs w:val="28"/>
        </w:rPr>
        <w:t xml:space="preserve">4. Организация трансляции изображения на служебный портал</w:t>
      </w:r>
      <w:r>
        <w:rPr>
          <w:rFonts w:ascii="PT Astra Serif" w:hAnsi="PT Astra Serif"/>
          <w:b/>
          <w:color w:val="000000" w:themeColor="text1"/>
          <w:sz w:val="28"/>
          <w:szCs w:val="28"/>
        </w:rPr>
      </w:r>
      <w:r>
        <w:rPr>
          <w:rFonts w:ascii="PT Astra Serif" w:hAnsi="PT Astra Serif"/>
          <w:b/>
          <w:bCs/>
          <w:color w:val="000000" w:themeColor="text1"/>
          <w:sz w:val="28"/>
          <w:szCs w:val="28"/>
          <w:highlight w:val="none"/>
        </w:rPr>
      </w:r>
    </w:p>
    <w:p>
      <w:pPr>
        <w:keepNext/>
        <w:spacing w:before="0" w:beforeAutospacing="0" w:after="0" w:afterAutospacing="0" w:line="240" w:lineRule="auto"/>
        <w:contextualSpacing/>
        <w:jc w:val="center"/>
        <w:rPr>
          <w:rFonts w:ascii="PT Astra Serif" w:hAnsi="PT Astra Serif"/>
          <w:b/>
          <w:bCs/>
          <w:color w:val="000000" w:themeColor="text1"/>
          <w:sz w:val="28"/>
          <w:szCs w:val="28"/>
        </w:rPr>
      </w:pPr>
      <w:r>
        <w:rPr>
          <w:rFonts w:ascii="PT Astra Serif" w:hAnsi="PT Astra Serif"/>
          <w:b/>
          <w:color w:val="000000" w:themeColor="text1"/>
          <w:sz w:val="28"/>
          <w:szCs w:val="28"/>
          <w:highlight w:val="none"/>
        </w:rPr>
      </w:r>
      <w:r>
        <w:rPr>
          <w:rFonts w:ascii="PT Astra Serif" w:hAnsi="PT Astra Serif"/>
          <w:b/>
          <w:color w:val="000000" w:themeColor="text1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4.1. Изображение из пом</w:t>
      </w:r>
      <w:r>
        <w:rPr>
          <w:rFonts w:ascii="PT Astra Serif" w:hAnsi="PT Astra Serif"/>
          <w:sz w:val="28"/>
          <w:szCs w:val="28"/>
        </w:rPr>
        <w:t xml:space="preserve">ещения для голосования, помещения ТИК</w:t>
      </w:r>
      <w:r>
        <w:rPr>
          <w:rFonts w:ascii="PT Astra Serif" w:hAnsi="PT Astra Serif"/>
          <w:spacing w:val="-1"/>
          <w:sz w:val="28"/>
          <w:szCs w:val="28"/>
        </w:rPr>
        <w:t xml:space="preserve">, помещения ТИК ДЭГ</w:t>
      </w:r>
      <w:r>
        <w:rPr>
          <w:rFonts w:ascii="PT Astra Serif" w:hAnsi="PT Astra Serif"/>
          <w:sz w:val="28"/>
          <w:szCs w:val="28"/>
        </w:rPr>
        <w:t xml:space="preserve"> транслируется на служебном портале (далее – трансляция изображения), на средствах отображения информации коллективного пользования Информационного ЦИК России, общественных штабов (центров) по </w:t>
      </w:r>
      <w:r>
        <w:rPr>
          <w:rFonts w:ascii="PT Astra Serif" w:hAnsi="PT Astra Serif"/>
          <w:sz w:val="28"/>
          <w:szCs w:val="28"/>
        </w:rPr>
        <w:t xml:space="preserve">наблюдению за выборами в субъектах Российской Федерации, на иных средствах, определенных ЦИК России.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Оснащение Информационного центра ЦИК России и общественных штабов (центров) по наблюдению за выборами в субъектах Российской Федерации средствами отображен</w:t>
      </w:r>
      <w:r>
        <w:rPr>
          <w:rFonts w:ascii="PT Astra Serif" w:hAnsi="PT Astra Serif"/>
          <w:sz w:val="28"/>
          <w:szCs w:val="28"/>
        </w:rPr>
        <w:t xml:space="preserve">ия информации коллективного пользования обеспечивает </w:t>
      </w:r>
      <w:r>
        <w:rPr>
          <w:rFonts w:ascii="PT Astra Serif" w:hAnsi="PT Astra Serif"/>
          <w:bCs/>
          <w:sz w:val="28"/>
          <w:szCs w:val="28"/>
        </w:rPr>
        <w:t xml:space="preserve">Минцифры России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4.2. Трансляция изображения доступна ЦИК России, ИКСРФ, ТИК, </w:t>
      </w:r>
      <w:r>
        <w:rPr>
          <w:rFonts w:ascii="PT Astra Serif" w:hAnsi="PT Astra Serif"/>
          <w:spacing w:val="-1"/>
          <w:sz w:val="28"/>
          <w:szCs w:val="28"/>
        </w:rPr>
        <w:t xml:space="preserve">ТИК ДЭГ, </w:t>
      </w:r>
      <w:r>
        <w:rPr>
          <w:rFonts w:ascii="PT Astra Serif" w:hAnsi="PT Astra Serif"/>
          <w:sz w:val="28"/>
          <w:szCs w:val="28"/>
        </w:rPr>
        <w:t xml:space="preserve">УИК, Минцифры России, членам Совета при Президенте Российской Федерации по развитию гражданского общества и правам </w:t>
      </w:r>
      <w:r>
        <w:rPr>
          <w:rFonts w:ascii="PT Astra Serif" w:hAnsi="PT Astra Serif"/>
          <w:sz w:val="28"/>
          <w:szCs w:val="28"/>
        </w:rPr>
        <w:t xml:space="preserve">человека, Уполномоченному по правам человека в Российской Федерации, уполномоченным по правам человека в субъектах Российской Федерации, Общественной палате Российской Федерации, техническому оператору, </w:t>
        <w:br/>
        <w:t xml:space="preserve">а также зарегистрированным кандидатам, политическим п</w:t>
      </w:r>
      <w:r>
        <w:rPr>
          <w:rFonts w:ascii="PT Astra Serif" w:hAnsi="PT Astra Serif"/>
          <w:sz w:val="28"/>
          <w:szCs w:val="28"/>
        </w:rPr>
        <w:t xml:space="preserve">артиям, выдвинувшим зарегистрированные федеральные списки кандидатов, зарегистрированных кандидатов по одномандатным избирательным округам, а также иным участникам избирательного процесса по решению ЦИК России.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4.3. ТИК с использованием служебного портала </w:t>
      </w:r>
      <w:r>
        <w:rPr>
          <w:rFonts w:ascii="PT Astra Serif" w:hAnsi="PT Astra Serif"/>
          <w:sz w:val="28"/>
          <w:szCs w:val="28"/>
        </w:rPr>
        <w:t xml:space="preserve">по возможности осуществляет контроль за подсчетом голосов в нижестоящих УИК, </w:t>
      </w:r>
      <w:r>
        <w:rPr>
          <w:rFonts w:ascii="PT Astra Serif" w:hAnsi="PT Astra Serif"/>
          <w:sz w:val="28"/>
          <w:szCs w:val="28"/>
        </w:rPr>
        <w:br/>
        <w:t xml:space="preserve">а ИКСРФ – за установлением итогов голосования в нижестоящих ТИК.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4.4. Трансляция изображения сопровождается информацией о дате </w:t>
      </w:r>
      <w:r>
        <w:rPr>
          <w:rFonts w:ascii="PT Astra Serif" w:hAnsi="PT Astra Serif"/>
          <w:sz w:val="28"/>
          <w:szCs w:val="28"/>
        </w:rPr>
        <w:br/>
        <w:t xml:space="preserve">и времени, номере избирательного участка, ТИК, ном</w:t>
      </w:r>
      <w:r>
        <w:rPr>
          <w:rFonts w:ascii="PT Astra Serif" w:hAnsi="PT Astra Serif"/>
          <w:sz w:val="28"/>
          <w:szCs w:val="28"/>
        </w:rPr>
        <w:t xml:space="preserve">ере камеры видеонаблюдения, субъекте Российской Федерации.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4.5. Трансляция изображения на служебный портал из помещений для голосования осуществляется в режиме реального времени с 8.00 по местному времени дня (первого дня) голосования до ввода данных прот</w:t>
      </w:r>
      <w:r>
        <w:rPr>
          <w:rFonts w:ascii="PT Astra Serif" w:hAnsi="PT Astra Serif"/>
          <w:sz w:val="28"/>
          <w:szCs w:val="28"/>
        </w:rPr>
        <w:t xml:space="preserve">околов УИК </w:t>
        <w:br/>
        <w:t xml:space="preserve">об итогах голосования в 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ГАС «Выборы» на комплексе средств автоматизации ТИК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Трансляция изображения на служебный портал из помещений ТИК осуществляется в режиме реального времени с 20.00 по местному времени дня (последнего дня)</w:t>
      </w:r>
      <w:r>
        <w:rPr>
          <w:rFonts w:ascii="PT Astra Serif" w:hAnsi="PT Astra Serif"/>
          <w:sz w:val="28"/>
          <w:szCs w:val="28"/>
        </w:rPr>
        <w:t xml:space="preserve"> голосования до проведения итогового заседания ТИК, составления протоколов ТИК об итогах голосования на соответствующей территории, выдачи копий протоколов.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Трансляция изображения на служебный портал из помещения </w:t>
      </w:r>
      <w:r>
        <w:rPr>
          <w:rFonts w:ascii="PT Astra Serif" w:hAnsi="PT Astra Serif"/>
          <w:sz w:val="28"/>
          <w:szCs w:val="28"/>
        </w:rPr>
        <w:br/>
        <w:t xml:space="preserve">ТИК ДЭГ осуществляется в режиме реального </w:t>
      </w:r>
      <w:r>
        <w:rPr>
          <w:rFonts w:ascii="PT Astra Serif" w:hAnsi="PT Astra Serif"/>
          <w:sz w:val="28"/>
          <w:szCs w:val="28"/>
        </w:rPr>
        <w:t xml:space="preserve">времени с 8.00 </w:t>
      </w:r>
      <w:r>
        <w:rPr>
          <w:rFonts w:ascii="PT Astra Serif" w:hAnsi="PT Astra Serif"/>
          <w:sz w:val="28"/>
          <w:szCs w:val="28"/>
        </w:rPr>
        <w:br/>
        <w:t xml:space="preserve">по московскому времени дня, предшествующего дню (первому дню) голосования, до завершения процедур,</w:t>
      </w:r>
      <w:r>
        <w:rPr>
          <w:rStyle w:val="1092"/>
          <w:rFonts w:ascii="PT Astra Serif" w:hAnsi="PT Astra Serif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предусмотренных абзацем вторым </w:t>
      </w:r>
      <w:r>
        <w:rPr>
          <w:rFonts w:ascii="PT Astra Serif" w:hAnsi="PT Astra Serif"/>
          <w:sz w:val="28"/>
          <w:szCs w:val="28"/>
        </w:rPr>
        <w:br/>
        <w:t xml:space="preserve">пункта 4.7 Порядка.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4.6. После ввода данных протоколов УИК об итогах голосования </w:t>
      </w:r>
      <w:r>
        <w:rPr>
          <w:rFonts w:ascii="PT Astra Serif" w:hAnsi="PT Astra Serif"/>
          <w:sz w:val="28"/>
          <w:szCs w:val="28"/>
        </w:rPr>
        <w:br/>
        <w:t xml:space="preserve">в 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ГАС «Выборы» на комплекс</w:t>
      </w:r>
      <w:r>
        <w:rPr>
          <w:rFonts w:ascii="PT Astra Serif" w:hAnsi="PT Astra Serif"/>
          <w:color w:val="000000" w:themeColor="text1"/>
          <w:sz w:val="28"/>
          <w:szCs w:val="28"/>
        </w:rPr>
        <w:t xml:space="preserve">е средств автоматизации ТИК</w:t>
      </w:r>
      <w:r>
        <w:rPr>
          <w:rFonts w:ascii="PT Astra Serif" w:hAnsi="PT Astra Serif"/>
          <w:sz w:val="28"/>
          <w:szCs w:val="28"/>
        </w:rPr>
        <w:t xml:space="preserve"> руководитель группы контроля за использованием ГАС «Выборы» отключает трансляцию изображения из помещения для голосования по телефону горячей линии (следуя указанию автоинформатора) или председатель ТИК отключает трансляцию изо</w:t>
      </w:r>
      <w:r>
        <w:rPr>
          <w:rFonts w:ascii="PT Astra Serif" w:hAnsi="PT Astra Serif"/>
          <w:sz w:val="28"/>
          <w:szCs w:val="28"/>
        </w:rPr>
        <w:t xml:space="preserve">бражения из помещения для голосования с использованием служебного портала или по телефону горячей линии (следуя указанию автоинформатора). При отсутствии возможности отключения трансляции изображения из помещения для голосования с использованием служебного</w:t>
      </w:r>
      <w:r>
        <w:rPr>
          <w:rFonts w:ascii="PT Astra Serif" w:hAnsi="PT Astra Serif"/>
          <w:sz w:val="28"/>
          <w:szCs w:val="28"/>
        </w:rPr>
        <w:t xml:space="preserve"> портала или по телефону горячей линии (следуя указанию автоинформатора) отключение трансляции производится с помощью телефонограммы </w:t>
        <w:br/>
        <w:t xml:space="preserve">по горячей линии путем сообщения представителю технического оператора </w:t>
        <w:br/>
        <w:t xml:space="preserve">о прекращении трансляции изображения из соответствующ</w:t>
      </w:r>
      <w:r>
        <w:rPr>
          <w:rFonts w:ascii="PT Astra Serif" w:hAnsi="PT Astra Serif"/>
          <w:sz w:val="28"/>
          <w:szCs w:val="28"/>
        </w:rPr>
        <w:t xml:space="preserve">его помещения для голосования. Представитель технического оператора после приема телефонограммы отключает трансляцию изображения из соответствующего помещения для голосования.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4.7. После проведения итогового заседания ТИК, составления </w:t>
        <w:br/>
        <w:t xml:space="preserve">и подписания протокол</w:t>
      </w:r>
      <w:r>
        <w:rPr>
          <w:rFonts w:ascii="PT Astra Serif" w:hAnsi="PT Astra Serif"/>
          <w:sz w:val="28"/>
          <w:szCs w:val="28"/>
        </w:rPr>
        <w:t xml:space="preserve">ов ТИК об итогах голосования, выдачи копий протоколов ТИК об итогах голосования председатель ТИК завершает трансляцию изображения из помещения ТИК с использованием служебного портала или по телефону горячей линии (следуя указанию автоинформатора). При отсу</w:t>
      </w:r>
      <w:r>
        <w:rPr>
          <w:rFonts w:ascii="PT Astra Serif" w:hAnsi="PT Astra Serif"/>
          <w:sz w:val="28"/>
          <w:szCs w:val="28"/>
        </w:rPr>
        <w:t xml:space="preserve">тствии возможности отключения трансляции изображения </w:t>
        <w:br/>
        <w:t xml:space="preserve">из помещения ТИК с использованием служебного портала или по телефону горячей линии (следуя указанию автоинформатора) отключение трансляции производится с помощью телефонограммы по горячей линии путем соо</w:t>
      </w:r>
      <w:r>
        <w:rPr>
          <w:rFonts w:ascii="PT Astra Serif" w:hAnsi="PT Astra Serif"/>
          <w:sz w:val="28"/>
          <w:szCs w:val="28"/>
        </w:rPr>
        <w:t xml:space="preserve">бщения представителю технического оператора о прекращении трансляции изображения из соответствующего помещения ТИК. Представитель технического оператора после приема телефонограммы отключает трансляцию изображения из соответствующего помещения ТИК.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После п</w:t>
      </w:r>
      <w:r>
        <w:rPr>
          <w:rFonts w:ascii="PT Astra Serif" w:hAnsi="PT Astra Serif"/>
          <w:sz w:val="28"/>
          <w:szCs w:val="28"/>
        </w:rPr>
        <w:t xml:space="preserve">одписания протокола ТИК ДЭГ об итогах дистанционного электронного голосования электронной подписью каждым присутствующим членом ТИК ДЭГ, размещения его в сети Интернет на портале наблюдения ПТК ДЭГ и на официальном сайте ЦИК России председатель ТИК ДЭГ зав</w:t>
      </w:r>
      <w:r>
        <w:rPr>
          <w:rFonts w:ascii="PT Astra Serif" w:hAnsi="PT Astra Serif"/>
          <w:sz w:val="28"/>
          <w:szCs w:val="28"/>
        </w:rPr>
        <w:t xml:space="preserve">ершает трансляцию изображения из помещения ТИК ДЭГ </w:t>
        <w:br/>
        <w:t xml:space="preserve">с использованием служебного портала или по телефону горячей линии (следуя указанию автоинформатора). При отсутствии возможности отключения трансляции изображения из помещения ТИК ДЭГ </w:t>
        <w:br/>
        <w:t xml:space="preserve">с использованием служе</w:t>
      </w:r>
      <w:r>
        <w:rPr>
          <w:rFonts w:ascii="PT Astra Serif" w:hAnsi="PT Astra Serif"/>
          <w:sz w:val="28"/>
          <w:szCs w:val="28"/>
        </w:rPr>
        <w:t xml:space="preserve">бного портала или по телефону горячей линии (следуя указанию автоинформатора) отключение трансляции производится </w:t>
        <w:br/>
        <w:t xml:space="preserve">с помощью телефонограммы по горячей линии путем сообщения представителю технического оператора о прекращении трансляции изображения из помещени</w:t>
      </w:r>
      <w:r>
        <w:rPr>
          <w:rFonts w:ascii="PT Astra Serif" w:hAnsi="PT Astra Serif"/>
          <w:sz w:val="28"/>
          <w:szCs w:val="28"/>
        </w:rPr>
        <w:t xml:space="preserve">я ТИК ДЭГ. Представитель технического оператора после приема телефонограммы отключает трансляцию изображения из помещения ТИК ДЭГ.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24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keepNext/>
        <w:spacing w:before="0" w:beforeAutospacing="0" w:after="0" w:afterAutospacing="0" w:line="240" w:lineRule="auto"/>
        <w:contextualSpacing w:val="0"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5. Сроки хранения видеозаписей, полученных в ходе видеонаблюдения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keepNext/>
        <w:spacing w:before="0" w:beforeAutospacing="0" w:after="0" w:afterAutospacing="0" w:line="240" w:lineRule="auto"/>
        <w:contextualSpacing w:val="0"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suppressLineNumbers w:val="0"/>
        <w:shd w:val="clear" w:color="auto" w:fill="ffffff"/>
        <w:tabs>
          <w:tab w:val="left" w:pos="698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5.1. ЦИК России осуществляет хранение видеозаписей, полученных </w:t>
        <w:br/>
        <w:t xml:space="preserve">в ходе видеонаблюдения на выборах депутатов Государственной Думы Федерального Собрания Российской Федерации девятого созыва, не менее одного года со дня официального опубликования общих результ</w:t>
      </w:r>
      <w:r>
        <w:rPr>
          <w:rFonts w:ascii="PT Astra Serif" w:hAnsi="PT Astra Serif"/>
          <w:sz w:val="28"/>
          <w:szCs w:val="28"/>
        </w:rPr>
        <w:t xml:space="preserve">атов указанных выборов, в том числе с использованием инфраструктуры технического оператора в течение срока, установленного государственным контрактом между Минцифры России и техническим оператором.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hd w:val="clear" w:color="auto" w:fill="ffffff"/>
        <w:tabs>
          <w:tab w:val="left" w:pos="698" w:leader="none"/>
        </w:tabs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5.2. За пять дней до истечения трех месяцев со дня официа</w:t>
      </w:r>
      <w:r>
        <w:rPr>
          <w:rFonts w:ascii="PT Astra Serif" w:hAnsi="PT Astra Serif"/>
          <w:sz w:val="28"/>
          <w:szCs w:val="28"/>
        </w:rPr>
        <w:t xml:space="preserve">льного опубликования общих результатов выборов с учетом пункта 3 статьи 78 Федерального закона «Об основных гарантиях избирательных прав и права на участие в референдуме граждан Российской Федерации» ЦИК России сообщает в Минцифры России наименование ТИК, </w:t>
      </w:r>
      <w:r>
        <w:rPr>
          <w:rFonts w:ascii="PT Astra Serif" w:hAnsi="PT Astra Serif"/>
          <w:sz w:val="28"/>
          <w:szCs w:val="28"/>
        </w:rPr>
        <w:t xml:space="preserve">номер УИК, жалобы </w:t>
      </w:r>
      <w:r>
        <w:rPr>
          <w:rFonts w:ascii="PT Astra Serif" w:hAnsi="PT Astra Serif"/>
          <w:sz w:val="28"/>
          <w:szCs w:val="28"/>
        </w:rPr>
        <w:br/>
        <w:t xml:space="preserve">в отношении которых рассматриваются в судебном порядке.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hd w:val="clear" w:color="auto" w:fill="ffffff"/>
        <w:tabs>
          <w:tab w:val="left" w:pos="698" w:leader="none"/>
        </w:tabs>
        <w:spacing w:before="0" w:beforeAutospacing="0" w:after="0" w:afterAutospacing="0" w:line="24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hd w:val="clear" w:color="auto" w:fill="ffffff"/>
        <w:tabs>
          <w:tab w:val="left" w:pos="698" w:leader="none"/>
        </w:tabs>
        <w:spacing w:before="0" w:beforeAutospacing="0" w:after="0" w:afterAutospacing="0" w:line="240" w:lineRule="auto"/>
        <w:contextualSpacing w:val="0"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6. Порядок организации доступа к видеозаписям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shd w:val="clear" w:color="auto" w:fill="ffffff"/>
        <w:tabs>
          <w:tab w:val="left" w:pos="698" w:leader="none"/>
        </w:tabs>
        <w:spacing w:before="0" w:beforeAutospacing="0" w:after="0" w:afterAutospacing="0" w:line="240" w:lineRule="auto"/>
        <w:contextualSpacing w:val="0"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pStyle w:val="999"/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b w:val="0"/>
          <w:bCs w:val="0"/>
          <w:szCs w:val="28"/>
        </w:rPr>
      </w:pPr>
      <w:r>
        <w:rPr>
          <w:rFonts w:ascii="PT Astra Serif" w:hAnsi="PT Astra Serif"/>
          <w:b w:val="0"/>
          <w:bCs w:val="0"/>
          <w:szCs w:val="28"/>
          <w:lang w:eastAsia="ru-RU"/>
        </w:rPr>
        <w:t xml:space="preserve">6.1. Доступ к видеозаписям предоставляет возможность просмотра, остановки и прокрутки видеозаписи в соответствии с полномочиями участн</w:t>
      </w:r>
      <w:r>
        <w:rPr>
          <w:rFonts w:ascii="PT Astra Serif" w:hAnsi="PT Astra Serif"/>
          <w:b w:val="0"/>
          <w:bCs w:val="0"/>
          <w:szCs w:val="28"/>
          <w:lang w:eastAsia="ru-RU"/>
        </w:rPr>
        <w:t xml:space="preserve">иков избирательного процесса, определенными в Порядке, а также сохранения видеозаписи на носителе информации.</w:t>
      </w:r>
      <w:r>
        <w:rPr>
          <w:rFonts w:ascii="PT Astra Serif" w:hAnsi="PT Astra Serif"/>
          <w:b w:val="0"/>
          <w:bCs w:val="0"/>
          <w:szCs w:val="28"/>
        </w:rPr>
      </w:r>
      <w:r>
        <w:rPr>
          <w:rFonts w:ascii="PT Astra Serif" w:hAnsi="PT Astra Serif"/>
          <w:b w:val="0"/>
          <w:bCs w:val="0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6.2. ЦИК России, ИКСРФ при необходимости используют соответствующую видеозапись из помещения для голосования, помещения ТИК, помещения ТИК ДЭГ при</w:t>
      </w:r>
      <w:r>
        <w:rPr>
          <w:rFonts w:ascii="PT Astra Serif" w:hAnsi="PT Astra Serif"/>
          <w:sz w:val="28"/>
          <w:szCs w:val="28"/>
        </w:rPr>
        <w:t xml:space="preserve"> реализации полномочий, предусмотренных подпунктом «к» пункта 9 статьи 21 и подпунктом «к» пункта 10 статьи 23 Федерального закона «Об основных гарантиях избирательных прав и права на участие в референдуме граждан Российской Федерации».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ЦИК России при нео</w:t>
      </w:r>
      <w:r>
        <w:rPr>
          <w:rFonts w:ascii="PT Astra Serif" w:hAnsi="PT Astra Serif"/>
          <w:sz w:val="28"/>
          <w:szCs w:val="28"/>
        </w:rPr>
        <w:t xml:space="preserve">бходимости использует соответствующую видеозапись из помещения для голосования, помещения ТИК, помещения ТИК ДЭГ при реализации иных полномочий в рамках своей компетенции.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6.3. Доступ ЦИК России, ИКСРФ к видеозаписям, полученным </w:t>
        <w:br/>
        <w:t xml:space="preserve">на соответствующей террито</w:t>
      </w:r>
      <w:r>
        <w:rPr>
          <w:rFonts w:ascii="PT Astra Serif" w:hAnsi="PT Astra Serif"/>
          <w:sz w:val="28"/>
          <w:szCs w:val="28"/>
        </w:rPr>
        <w:t xml:space="preserve">рии, в период хранения с использованием инфраструктуры технического оператора осуществляется через служебный портал.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этом доступ через служебный портал возможен к видеозаписям, полученным в ходе видеонаблюдения в помещениях для голосования, помещениях </w:t>
      </w:r>
      <w:r>
        <w:rPr>
          <w:rFonts w:ascii="PT Astra Serif" w:hAnsi="PT Astra Serif"/>
          <w:sz w:val="28"/>
          <w:szCs w:val="28"/>
        </w:rPr>
        <w:t xml:space="preserve">ТИК, помещении ТИК ДЭГ, имеющих доступ к сетям передачи данных, – непосредственно после завершения всех действий УИК, ТИК, </w:t>
      </w:r>
      <w:r>
        <w:rPr>
          <w:rFonts w:ascii="PT Astra Serif" w:hAnsi="PT Astra Serif"/>
          <w:sz w:val="28"/>
          <w:szCs w:val="28"/>
        </w:rPr>
        <w:br/>
        <w:t xml:space="preserve">ТИК ДЭГ, связанных с установлением итогов голосования.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6.4. Доступ к видеозаписям предоставляется по запросу суда, рассматривающего </w:t>
      </w:r>
      <w:r>
        <w:rPr>
          <w:rFonts w:ascii="PT Astra Serif" w:hAnsi="PT Astra Serif"/>
          <w:sz w:val="28"/>
          <w:szCs w:val="28"/>
        </w:rPr>
        <w:t xml:space="preserve">административное дело, уголовное дело, дело </w:t>
        <w:br/>
        <w:t xml:space="preserve">об административном правонарушении, связанное с событиями, имевшими место в помещении для голосования, помещении ТИК, помещении ТИК ДЭГ, а также по запросу прокурора, следователя, иного должностного лица, осущест</w:t>
      </w:r>
      <w:r>
        <w:rPr>
          <w:rFonts w:ascii="PT Astra Serif" w:hAnsi="PT Astra Serif"/>
          <w:sz w:val="28"/>
          <w:szCs w:val="28"/>
        </w:rPr>
        <w:t xml:space="preserve">вляющего свою деятельность в связи с решением вопроса </w:t>
        <w:br/>
        <w:t xml:space="preserve">о возбуждении дела об административном правонарушении, о возбуждении уголовного дела и (или) проведением расследования указанных дел. Порядок и форма направления запроса указанными органами и должностны</w:t>
      </w:r>
      <w:r>
        <w:rPr>
          <w:rFonts w:ascii="PT Astra Serif" w:hAnsi="PT Astra Serif"/>
          <w:sz w:val="28"/>
          <w:szCs w:val="28"/>
        </w:rPr>
        <w:t xml:space="preserve">ми лицами устанавливаются в соответствии с положениями Кодекса административного судопроизводства Российской Федерации, Уголовно-процессуального кодекса Российской Федерации, Кодекса Российской Федерации </w:t>
        <w:br/>
        <w:t xml:space="preserve">об административных правонарушениях, иных федеральны</w:t>
      </w:r>
      <w:r>
        <w:rPr>
          <w:rFonts w:ascii="PT Astra Serif" w:hAnsi="PT Astra Serif"/>
          <w:sz w:val="28"/>
          <w:szCs w:val="28"/>
        </w:rPr>
        <w:t xml:space="preserve">х законов.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6.5. С учетом положений </w:t>
      </w:r>
      <w:hyperlink r:id="rId18" w:tooltip="consultantplus://offline/ref=1DAC9FE1A186FD481EC8E3C0708DED3BCBECC76ABCEF399C1A5B3D44DEE01232E0CAD157CF9D975BAD209FAEFE8EA1A083B59359F6eFX8P" w:history="1">
        <w:r>
          <w:rPr>
            <w:rFonts w:ascii="PT Astra Serif" w:hAnsi="PT Astra Serif"/>
            <w:sz w:val="28"/>
            <w:szCs w:val="28"/>
          </w:rPr>
          <w:t xml:space="preserve">пункта 10 статьи 75</w:t>
        </w:r>
      </w:hyperlink>
      <w:r>
        <w:rPr>
          <w:rFonts w:ascii="PT Astra Serif" w:hAnsi="PT Astra Serif"/>
          <w:sz w:val="28"/>
          <w:szCs w:val="28"/>
        </w:rPr>
        <w:t xml:space="preserve"> Федерального закона </w:t>
      </w:r>
      <w:r>
        <w:rPr>
          <w:rFonts w:ascii="PT Astra Serif" w:hAnsi="PT Astra Serif"/>
          <w:sz w:val="28"/>
          <w:szCs w:val="28"/>
        </w:rPr>
        <w:br/>
        <w:t xml:space="preserve">«Об основных гарантиях избирательных прав и права на участие </w:t>
        <w:br/>
        <w:t xml:space="preserve">в референдуме граждан Российской Федерации» к видеоматериалам, содержащим </w:t>
      </w:r>
      <w:r>
        <w:rPr>
          <w:rFonts w:ascii="PT Astra Serif" w:hAnsi="PT Astra Serif"/>
          <w:sz w:val="28"/>
          <w:szCs w:val="28"/>
        </w:rPr>
        <w:t xml:space="preserve">запись действий (бездействия), имевших место в помещении для голосования, помещении ТИК, помещении ТИК ДЭГ, и которые, </w:t>
        <w:br/>
        <w:t xml:space="preserve">по мнению обратившихся, нарушают законодательство Российской Федерации о выборах, имеют доступ обратившиеся с жалобами на указанные дейст</w:t>
      </w:r>
      <w:r>
        <w:rPr>
          <w:rFonts w:ascii="PT Astra Serif" w:hAnsi="PT Astra Serif"/>
          <w:sz w:val="28"/>
          <w:szCs w:val="28"/>
        </w:rPr>
        <w:t xml:space="preserve">вия (бездействие) для защиты своих избирательных прав следующие участники избирательного процесса: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политическая партия, выдвинувшая зарегистрированный федеральный список кандидатов, – по любому избирательному участку, любой ТИК, </w:t>
        <w:br/>
        <w:t xml:space="preserve">ТИК ДЭГ, в помещениях котор</w:t>
      </w:r>
      <w:r>
        <w:rPr>
          <w:rFonts w:ascii="PT Astra Serif" w:hAnsi="PT Astra Serif"/>
          <w:sz w:val="28"/>
          <w:szCs w:val="28"/>
        </w:rPr>
        <w:t xml:space="preserve">ых соответственно применялись средства видеонаблюдения;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зарегистрированный кандидат по одномандатному избирательному округу – по любому избирательному участку соответствующего одномандатного избирательного округа, любой ТИК соответствующего одномандатного </w:t>
      </w:r>
      <w:r>
        <w:rPr>
          <w:rFonts w:ascii="PT Astra Serif" w:hAnsi="PT Astra Serif"/>
          <w:sz w:val="28"/>
          <w:szCs w:val="28"/>
        </w:rPr>
        <w:t xml:space="preserve">избирательного округа, в помещениях которых применялись средства видеонаблюдения;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иной участник избирательного процесса – по УИК избирательного участка, ТИК, ТИК ДЭГ, в помещениях которых соответственно </w:t>
        <w:br/>
        <w:t xml:space="preserve">он присутствовал при установлении итогов голосования и в которых применялись средства видеонаблюдения.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6.6. Заявки направляются в ИКСРФ</w:t>
      </w:r>
      <w:r>
        <w:rPr>
          <w:rFonts w:ascii="PT Astra Serif" w:hAnsi="PT Astra Serif"/>
          <w:sz w:val="28"/>
          <w:szCs w:val="28"/>
        </w:rPr>
        <w:t xml:space="preserve"> (для ТИК ДЭГ заявки направляются в ЦИК России).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6.7. В заявке указываются: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фамилия, имя, отчество заявителя, а если заявка направлена от имени политической партии, – наименование политической партии, фамилия, имя, отчество должностного лица политической </w:t>
      </w:r>
      <w:r>
        <w:rPr>
          <w:rFonts w:ascii="PT Astra Serif" w:hAnsi="PT Astra Serif"/>
          <w:sz w:val="28"/>
          <w:szCs w:val="28"/>
        </w:rPr>
        <w:t xml:space="preserve">партии;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статус в избирательном процессе (избиратель, наблюдатель, член избирательной комиссии и т.д.);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контактный телефон;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номер избирательного участка, наименование ТИК, ТИК ДЭГ, видеозаписи с которых запрашиваются;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адрес электронной почты, на который бу</w:t>
      </w:r>
      <w:r>
        <w:rPr>
          <w:rFonts w:ascii="PT Astra Serif" w:hAnsi="PT Astra Serif"/>
          <w:sz w:val="28"/>
          <w:szCs w:val="28"/>
        </w:rPr>
        <w:t xml:space="preserve">дет направлена адресная ссылка для доступа к видеозаписи;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конкретный день (дни) голосования и время начала и завершения требуемого события на видеозаписи;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указание на нарушение, допущенное, по мнению заявителя, в указанное время в помещении для голосования</w:t>
      </w:r>
      <w:r>
        <w:rPr>
          <w:rFonts w:ascii="PT Astra Serif" w:hAnsi="PT Astra Serif"/>
          <w:sz w:val="28"/>
          <w:szCs w:val="28"/>
        </w:rPr>
        <w:t xml:space="preserve">, помещении ТИК, помещении </w:t>
        <w:br/>
        <w:t xml:space="preserve">ТИК ДЭГ;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дата и подпись заявителя.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6.8. ИКСРФ (ЦИК России) рассматривает заявку в течение трех дней </w:t>
        <w:br/>
        <w:t xml:space="preserve">со дня ее получения. При соблюдении требований, установленных </w:t>
        <w:br/>
        <w:t xml:space="preserve">пунктом 6.7 Порядка, ИКСРФ (ЦИК России) направляет подавшему заявку</w:t>
      </w:r>
      <w:r>
        <w:rPr>
          <w:rFonts w:ascii="PT Astra Serif" w:hAnsi="PT Astra Serif"/>
          <w:sz w:val="28"/>
          <w:szCs w:val="28"/>
        </w:rPr>
        <w:t xml:space="preserve"> лицу, указанному в пункте 6.5 Порядка, соответствующую адресную ссылку </w:t>
        <w:br/>
        <w:t xml:space="preserve">на видеозапись.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случае если поступившая от лица, указанного в пункте 6.5 Порядка, заявка не соответствует требованиям, установленным пунктом 6.7 Порядка, ИКСРФ (ЦИК России) сообщает </w:t>
      </w:r>
      <w:r>
        <w:rPr>
          <w:rFonts w:ascii="PT Astra Serif" w:hAnsi="PT Astra Serif"/>
          <w:sz w:val="28"/>
          <w:szCs w:val="28"/>
        </w:rPr>
        <w:t xml:space="preserve">об этом лицу, подавшему заявку, </w:t>
        <w:br/>
        <w:t xml:space="preserve">с указанием на то, в чем имеется несоответствие.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6.9. Формирование адресной ссылки производится автоматизированно ИКСРФ (ЦИК России) со служебного портала.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6.10. Сведения об организации доступа к видеозаписи для органов </w:t>
        <w:br/>
        <w:t xml:space="preserve">и лиц, указанных в пунктах 6.4 и 6.5 Порядка, ИКСРФ направляет </w:t>
      </w:r>
      <w:r>
        <w:rPr>
          <w:rFonts w:ascii="PT Astra Serif" w:hAnsi="PT Astra Serif"/>
          <w:sz w:val="28"/>
          <w:szCs w:val="28"/>
        </w:rPr>
        <w:br/>
        <w:t xml:space="preserve">ЦИК России по установленной форме (приложение № 3 к Порядку).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before="100" w:beforeAutospacing="1" w:after="100" w:afterAutospacing="1" w:line="360" w:lineRule="auto"/>
        <w:ind w:firstLine="708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before="100" w:beforeAutospacing="1" w:after="100" w:afterAutospacing="1" w:line="360" w:lineRule="auto"/>
        <w:ind w:firstLine="708"/>
        <w:contextualSpacing/>
        <w:jc w:val="both"/>
        <w:rPr>
          <w:rFonts w:ascii="PT Astra Serif" w:hAnsi="PT Astra Serif"/>
          <w:sz w:val="28"/>
          <w:szCs w:val="28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1"/>
          <w:cols w:num="1" w:sep="0" w:space="720" w:equalWidth="1"/>
          <w:docGrid w:linePitch="360"/>
          <w:titlePg/>
        </w:sect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line="240" w:lineRule="auto"/>
        <w:ind w:left="3969" w:right="0" w:firstLine="0"/>
        <w:contextualSpacing w:val="0"/>
        <w:jc w:val="center"/>
        <w:rPr>
          <w:rFonts w:ascii="PT Astra Serif" w:hAnsi="PT Astra Serif" w:cs="TimesNewRomanPSMT"/>
        </w:rPr>
      </w:pPr>
      <w:r>
        <w:rPr>
          <w:rFonts w:ascii="PT Astra Serif" w:hAnsi="PT Astra Serif" w:cs="TimesNewRomanPSMT"/>
        </w:rPr>
        <w:t xml:space="preserve">Приложение № 1</w:t>
      </w:r>
      <w:r>
        <w:rPr>
          <w:rFonts w:ascii="PT Astra Serif" w:hAnsi="PT Astra Serif" w:cs="TimesNewRomanPSMT"/>
        </w:rPr>
      </w:r>
      <w:r>
        <w:rPr>
          <w:rFonts w:ascii="PT Astra Serif" w:hAnsi="PT Astra Serif" w:cs="TimesNewRomanPSMT"/>
        </w:rPr>
      </w:r>
    </w:p>
    <w:p>
      <w:pPr>
        <w:tabs>
          <w:tab w:val="left" w:pos="0" w:leader="none"/>
        </w:tabs>
        <w:spacing w:line="240" w:lineRule="auto"/>
        <w:ind w:left="3969" w:right="0" w:firstLine="0"/>
        <w:contextualSpacing w:val="0"/>
        <w:jc w:val="center"/>
        <w:rPr>
          <w:rFonts w:ascii="PT Astra Serif" w:hAnsi="PT Astra Serif"/>
        </w:rPr>
      </w:pPr>
      <w:r>
        <w:rPr>
          <w:rFonts w:ascii="PT Astra Serif" w:hAnsi="PT Astra Serif" w:cs="TimesNewRomanPSMT"/>
        </w:rPr>
        <w:t xml:space="preserve">к Порядку </w:t>
      </w:r>
      <w:r>
        <w:rPr>
          <w:rFonts w:ascii="PT Astra Serif" w:hAnsi="PT Astra Serif"/>
        </w:rPr>
        <w:t xml:space="preserve">применения средств 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shd w:val="clear" w:color="auto" w:fill="ffffff"/>
        <w:tabs>
          <w:tab w:val="left" w:pos="698" w:leader="none"/>
        </w:tabs>
        <w:spacing w:line="240" w:lineRule="auto"/>
        <w:ind w:left="3969" w:right="0" w:firstLine="0"/>
        <w:contextualSpacing w:val="0"/>
        <w:jc w:val="center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</w:rPr>
        <w:t xml:space="preserve">видеонаблюдения и трансляции изображения</w:t>
      </w:r>
      <w:r>
        <w:rPr>
          <w:rFonts w:ascii="PT Astra Serif" w:hAnsi="PT Astra Serif"/>
        </w:rPr>
        <w:br/>
        <w:t xml:space="preserve">при проведении выборов 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/>
        </w:rPr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hd w:val="clear" w:color="auto" w:fill="ffffff"/>
        <w:tabs>
          <w:tab w:val="left" w:pos="698" w:leader="none"/>
        </w:tabs>
        <w:spacing w:line="360" w:lineRule="auto"/>
        <w:ind w:firstLine="720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hd w:val="clear" w:color="auto" w:fill="ffffff"/>
        <w:tabs>
          <w:tab w:val="left" w:pos="698" w:leader="none"/>
        </w:tabs>
        <w:spacing w:line="360" w:lineRule="auto"/>
        <w:ind w:firstLine="720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120"/>
        <w:ind w:firstLine="720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ind w:firstLine="0"/>
        <w:contextualSpacing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СХЕМА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suppressLineNumbers w:val="0"/>
        <w:ind w:firstLine="0"/>
        <w:contextualSpacing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размещения средств видеонаблюдения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suppressLineNumbers w:val="0"/>
        <w:ind w:firstLine="0"/>
        <w:contextualSpacing/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в помещении для голосования </w:t>
      </w:r>
      <w:r>
        <w:rPr>
          <w:rFonts w:ascii="PT Astra Serif" w:hAnsi="PT Astra Serif"/>
          <w:b/>
          <w:sz w:val="28"/>
          <w:szCs w:val="28"/>
        </w:rPr>
        <w:br/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3600" cy="3512820"/>
                <wp:effectExtent l="0" t="0" r="0" b="0"/>
                <wp:docPr id="2" name="_x0000_i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55822422" name="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3600" cy="351281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8.00pt;height:276.60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tabs>
          <w:tab w:val="left" w:pos="0" w:leader="none"/>
        </w:tabs>
        <w:spacing w:line="360" w:lineRule="auto"/>
        <w:ind w:firstLine="709"/>
        <w:contextualSpacing/>
        <w:jc w:val="both"/>
        <w:rPr>
          <w:rFonts w:ascii="PT Astra Serif" w:hAnsi="PT Astra Serif"/>
          <w:sz w:val="18"/>
          <w:szCs w:val="28"/>
        </w:rPr>
      </w:pPr>
      <w:r>
        <w:rPr>
          <w:rFonts w:ascii="PT Astra Serif" w:hAnsi="PT Astra Serif" w:cs="TimesNewRomanPSMT"/>
          <w:szCs w:val="20"/>
        </w:rPr>
        <w:t xml:space="preserve">*</w:t>
      </w:r>
      <w:r>
        <w:rPr>
          <w:rFonts w:ascii="PT Astra Serif" w:hAnsi="PT Astra Serif"/>
          <w:sz w:val="22"/>
          <w:szCs w:val="28"/>
        </w:rPr>
        <w:t xml:space="preserve"> </w:t>
      </w:r>
      <w:r>
        <w:rPr>
          <w:rFonts w:ascii="PT Astra Serif" w:hAnsi="PT Astra Serif"/>
          <w:sz w:val="18"/>
          <w:szCs w:val="28"/>
        </w:rPr>
        <w:t xml:space="preserve">Ме</w:t>
      </w:r>
      <w:r>
        <w:rPr>
          <w:rFonts w:ascii="PT Astra Serif" w:hAnsi="PT Astra Serif"/>
          <w:sz w:val="18"/>
          <w:szCs w:val="28"/>
        </w:rPr>
        <w:t xml:space="preserve">сто хранения сейф-пакетов с бюллетенями проголосовавших избирателей</w:t>
      </w:r>
      <w:r>
        <w:rPr>
          <w:rFonts w:ascii="PT Astra Serif" w:hAnsi="PT Astra Serif"/>
          <w:sz w:val="18"/>
          <w:szCs w:val="20"/>
        </w:rPr>
        <w:t xml:space="preserve">.</w:t>
      </w:r>
      <w:r>
        <w:rPr>
          <w:rFonts w:ascii="PT Astra Serif" w:hAnsi="PT Astra Serif"/>
          <w:sz w:val="18"/>
          <w:szCs w:val="28"/>
        </w:rPr>
      </w:r>
      <w:r>
        <w:rPr>
          <w:rFonts w:ascii="PT Astra Serif" w:hAnsi="PT Astra Serif"/>
          <w:sz w:val="18"/>
          <w:szCs w:val="28"/>
        </w:rPr>
      </w:r>
    </w:p>
    <w:p>
      <w:pPr>
        <w:tabs>
          <w:tab w:val="left" w:pos="2694" w:leader="none"/>
        </w:tabs>
        <w:spacing w:line="360" w:lineRule="auto"/>
        <w:ind w:firstLine="708"/>
        <w:contextualSpacing/>
        <w:jc w:val="both"/>
        <w:rPr>
          <w:rFonts w:ascii="PT Astra Serif" w:hAnsi="PT Astra Serif"/>
          <w:sz w:val="18"/>
          <w:szCs w:val="28"/>
        </w:rPr>
      </w:pPr>
      <w:r>
        <w:rPr>
          <w:rFonts w:ascii="PT Astra Serif" w:hAnsi="PT Astra Serif" w:cs="TimesNewRomanPSMT"/>
          <w:szCs w:val="20"/>
        </w:rPr>
        <w:t xml:space="preserve">**</w:t>
      </w:r>
      <w:r>
        <w:rPr>
          <w:rFonts w:ascii="PT Astra Serif" w:hAnsi="PT Astra Serif"/>
          <w:sz w:val="22"/>
          <w:szCs w:val="28"/>
        </w:rPr>
        <w:t xml:space="preserve"> </w:t>
      </w:r>
      <w:r>
        <w:rPr>
          <w:rFonts w:ascii="PT Astra Serif" w:hAnsi="PT Astra Serif"/>
          <w:sz w:val="18"/>
          <w:szCs w:val="28"/>
        </w:rPr>
        <w:t xml:space="preserve">Место, с которого демонстрируются протоколы УИК об итогах голосования и оглашаются данные из них.</w:t>
      </w:r>
      <w:r>
        <w:rPr>
          <w:rFonts w:ascii="PT Astra Serif" w:hAnsi="PT Astra Serif"/>
          <w:sz w:val="18"/>
          <w:szCs w:val="28"/>
        </w:rPr>
      </w:r>
      <w:r>
        <w:rPr>
          <w:rFonts w:ascii="PT Astra Serif" w:hAnsi="PT Astra Serif"/>
          <w:sz w:val="18"/>
          <w:szCs w:val="28"/>
        </w:rPr>
      </w:r>
    </w:p>
    <w:p>
      <w:pPr>
        <w:tabs>
          <w:tab w:val="left" w:pos="2694" w:leader="none"/>
        </w:tabs>
        <w:spacing w:line="365" w:lineRule="auto"/>
        <w:ind w:firstLine="708"/>
        <w:contextualSpacing/>
        <w:jc w:val="both"/>
        <w:rPr>
          <w:rFonts w:ascii="PT Astra Serif" w:hAnsi="PT Astra Serif"/>
          <w:sz w:val="18"/>
          <w:szCs w:val="28"/>
        </w:rPr>
        <w:sectPr>
          <w:headerReference w:type="default" r:id="rId11"/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1"/>
          <w:cols w:num="1" w:sep="0" w:space="720" w:equalWidth="1"/>
          <w:docGrid w:linePitch="360"/>
          <w:titlePg/>
        </w:sectPr>
      </w:pPr>
      <w:r>
        <w:rPr>
          <w:rFonts w:ascii="PT Astra Serif" w:hAnsi="PT Astra Serif"/>
          <w:sz w:val="18"/>
          <w:szCs w:val="28"/>
        </w:rPr>
      </w:r>
      <w:r>
        <w:rPr>
          <w:rFonts w:ascii="PT Astra Serif" w:hAnsi="PT Astra Serif"/>
          <w:sz w:val="18"/>
          <w:szCs w:val="28"/>
        </w:rPr>
      </w:r>
      <w:r>
        <w:rPr>
          <w:rFonts w:ascii="PT Astra Serif" w:hAnsi="PT Astra Serif"/>
          <w:sz w:val="18"/>
          <w:szCs w:val="28"/>
        </w:rPr>
      </w:r>
    </w:p>
    <w:p>
      <w:pPr>
        <w:spacing w:line="240" w:lineRule="auto"/>
        <w:ind w:left="3969" w:right="0" w:firstLine="0"/>
        <w:contextualSpacing w:val="0"/>
        <w:jc w:val="center"/>
        <w:rPr>
          <w:rFonts w:ascii="PT Astra Serif" w:hAnsi="PT Astra Serif" w:cs="TimesNewRomanPSMT"/>
        </w:rPr>
      </w:pPr>
      <w:r>
        <w:rPr>
          <w:rFonts w:ascii="PT Astra Serif" w:hAnsi="PT Astra Serif" w:cs="TimesNewRomanPSMT"/>
        </w:rPr>
        <w:t xml:space="preserve">Приложение № 2</w:t>
      </w:r>
      <w:r>
        <w:rPr>
          <w:rFonts w:ascii="PT Astra Serif" w:hAnsi="PT Astra Serif" w:cs="TimesNewRomanPSMT"/>
        </w:rPr>
      </w:r>
      <w:r>
        <w:rPr>
          <w:rFonts w:ascii="PT Astra Serif" w:hAnsi="PT Astra Serif" w:cs="TimesNewRomanPSMT"/>
        </w:rPr>
      </w:r>
    </w:p>
    <w:p>
      <w:pPr>
        <w:tabs>
          <w:tab w:val="left" w:pos="0" w:leader="none"/>
        </w:tabs>
        <w:spacing w:line="240" w:lineRule="auto"/>
        <w:ind w:left="3969" w:right="0" w:firstLine="0"/>
        <w:contextualSpacing w:val="0"/>
        <w:jc w:val="center"/>
        <w:rPr>
          <w:rFonts w:ascii="PT Astra Serif" w:hAnsi="PT Astra Serif"/>
        </w:rPr>
      </w:pPr>
      <w:r>
        <w:rPr>
          <w:rFonts w:ascii="PT Astra Serif" w:hAnsi="PT Astra Serif" w:cs="TimesNewRomanPSMT"/>
        </w:rPr>
        <w:t xml:space="preserve">к Порядку </w:t>
      </w:r>
      <w:r>
        <w:rPr>
          <w:rFonts w:ascii="PT Astra Serif" w:hAnsi="PT Astra Serif"/>
        </w:rPr>
        <w:t xml:space="preserve">применения средств 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shd w:val="clear" w:color="auto" w:fill="ffffff"/>
        <w:tabs>
          <w:tab w:val="left" w:pos="698" w:leader="none"/>
        </w:tabs>
        <w:spacing w:line="240" w:lineRule="auto"/>
        <w:ind w:left="3969" w:right="0" w:firstLine="0"/>
        <w:contextualSpacing w:val="0"/>
        <w:jc w:val="center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</w:rPr>
        <w:t xml:space="preserve">видеонаблюдения и трансляции изображения</w:t>
      </w:r>
      <w:r>
        <w:rPr>
          <w:rFonts w:ascii="PT Astra Serif" w:hAnsi="PT Astra Serif"/>
        </w:rPr>
        <w:br/>
        <w:t xml:space="preserve">при проведении выборов 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pacing w:after="120"/>
        <w:ind w:firstLine="720"/>
        <w:contextualSpacing/>
        <w:jc w:val="both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spacing w:after="120"/>
        <w:ind w:firstLine="720"/>
        <w:contextualSpacing/>
        <w:jc w:val="both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</w:rPr>
      </w:r>
    </w:p>
    <w:p>
      <w:pPr>
        <w:spacing w:after="120"/>
        <w:ind w:firstLine="720"/>
        <w:contextualSpacing/>
        <w:jc w:val="both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suppressLineNumbers w:val="0"/>
        <w:ind w:firstLine="0"/>
        <w:contextualSpacing/>
        <w:jc w:val="center"/>
        <w:rPr>
          <w:rFonts w:ascii="PT Astra Serif" w:hAnsi="PT Astra Serif"/>
          <w:b/>
          <w:sz w:val="28"/>
          <w:szCs w:val="20"/>
        </w:rPr>
      </w:pPr>
      <w:r>
        <w:rPr>
          <w:rFonts w:ascii="PT Astra Serif" w:hAnsi="PT Astra Serif"/>
          <w:b/>
          <w:sz w:val="28"/>
          <w:szCs w:val="20"/>
        </w:rPr>
        <w:t xml:space="preserve">Инструкция по работе со средствами видеонаблюдения</w:t>
      </w:r>
      <w:r>
        <w:rPr>
          <w:rFonts w:ascii="PT Astra Serif" w:hAnsi="PT Astra Serif"/>
          <w:b/>
          <w:sz w:val="28"/>
          <w:szCs w:val="20"/>
        </w:rPr>
      </w:r>
      <w:r>
        <w:rPr>
          <w:rFonts w:ascii="PT Astra Serif" w:hAnsi="PT Astra Serif"/>
          <w:b/>
          <w:sz w:val="28"/>
          <w:szCs w:val="20"/>
        </w:rPr>
      </w:r>
    </w:p>
    <w:p>
      <w:pPr>
        <w:suppressLineNumbers w:val="0"/>
        <w:ind w:firstLine="0"/>
        <w:contextualSpacing/>
        <w:jc w:val="center"/>
        <w:rPr>
          <w:rFonts w:ascii="PT Astra Serif" w:hAnsi="PT Astra Serif"/>
          <w:b/>
          <w:sz w:val="28"/>
          <w:szCs w:val="20"/>
        </w:rPr>
      </w:pPr>
      <w:r>
        <w:rPr>
          <w:rFonts w:ascii="PT Astra Serif" w:hAnsi="PT Astra Serif"/>
          <w:b/>
          <w:sz w:val="28"/>
          <w:szCs w:val="20"/>
        </w:rPr>
      </w:r>
      <w:r>
        <w:rPr>
          <w:rFonts w:ascii="PT Astra Serif" w:hAnsi="PT Astra Serif"/>
          <w:b/>
          <w:sz w:val="28"/>
          <w:szCs w:val="20"/>
        </w:rPr>
      </w:r>
      <w:r>
        <w:rPr>
          <w:rFonts w:ascii="PT Astra Serif" w:hAnsi="PT Astra Serif"/>
          <w:b/>
          <w:sz w:val="28"/>
          <w:szCs w:val="20"/>
        </w:rPr>
      </w:r>
    </w:p>
    <w:p>
      <w:pPr>
        <w:spacing w:line="240" w:lineRule="auto"/>
        <w:contextualSpacing/>
        <w:jc w:val="center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0"/>
        </w:rPr>
        <w:t xml:space="preserve">1. Используемые сокращения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pacing w:line="240" w:lineRule="auto"/>
        <w:contextualSpacing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bCs/>
          <w:sz w:val="28"/>
          <w:szCs w:val="20"/>
          <w:highlight w:val="none"/>
        </w:rPr>
      </w:r>
      <w:r>
        <w:rPr>
          <w:rFonts w:ascii="PT Astra Serif" w:hAnsi="PT Astra Serif"/>
          <w:b/>
          <w:bCs/>
          <w:sz w:val="28"/>
          <w:szCs w:val="20"/>
          <w:highlight w:val="none"/>
        </w:rPr>
      </w:r>
    </w:p>
    <w:p>
      <w:pPr>
        <w:suppressLineNumbers w:val="0"/>
        <w:spacing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УИК – участковая избирательная комиссия;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ТИК – территориальная избирательная комиссия, в том числе территориальная избирательная комиссия дистанционного электронного голосования;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0"/>
        </w:rPr>
        <w:t xml:space="preserve">технический оператор – </w:t>
      </w:r>
      <w:r>
        <w:rPr>
          <w:rFonts w:ascii="PT Astra Serif" w:hAnsi="PT Astra Serif"/>
          <w:sz w:val="28"/>
          <w:szCs w:val="28"/>
        </w:rPr>
        <w:t xml:space="preserve">организация, определенная П</w:t>
      </w:r>
      <w:r>
        <w:rPr>
          <w:rFonts w:ascii="PT Astra Serif" w:hAnsi="PT Astra Serif"/>
          <w:sz w:val="28"/>
          <w:szCs w:val="28"/>
        </w:rPr>
        <w:t xml:space="preserve">равительством Российской Федерации и привлекаемая </w:t>
      </w:r>
      <w:r>
        <w:rPr>
          <w:rFonts w:ascii="PT Astra Serif" w:hAnsi="PT Astra Serif"/>
          <w:bCs/>
          <w:sz w:val="28"/>
          <w:szCs w:val="28"/>
        </w:rPr>
        <w:t xml:space="preserve">федеральным органом исполнительной власти, осуществляющим функции по выработке </w:t>
        <w:br/>
        <w:t xml:space="preserve">и реализации государственной политики и нормативно-правовому регулированию в сфере информационных технологий.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line="24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0"/>
          <w:highlight w:val="none"/>
        </w:rPr>
      </w:r>
      <w:r>
        <w:rPr>
          <w:rFonts w:ascii="PT Astra Serif" w:hAnsi="PT Astra Serif"/>
          <w:sz w:val="28"/>
          <w:szCs w:val="20"/>
          <w:highlight w:val="none"/>
        </w:rPr>
      </w:r>
    </w:p>
    <w:p>
      <w:pPr>
        <w:spacing w:line="240" w:lineRule="auto"/>
        <w:contextualSpacing/>
        <w:jc w:val="center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0"/>
        </w:rPr>
        <w:t xml:space="preserve">2. Проверка текущ</w:t>
      </w:r>
      <w:r>
        <w:rPr>
          <w:rFonts w:ascii="PT Astra Serif" w:hAnsi="PT Astra Serif"/>
          <w:b/>
          <w:sz w:val="28"/>
          <w:szCs w:val="20"/>
        </w:rPr>
        <w:t xml:space="preserve">его состояния средств видеонаблюдения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pacing w:line="240" w:lineRule="auto"/>
        <w:contextualSpacing/>
        <w:jc w:val="center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0"/>
          <w:highlight w:val="none"/>
        </w:rPr>
      </w:r>
      <w:r>
        <w:rPr>
          <w:rFonts w:ascii="PT Astra Serif" w:hAnsi="PT Astra Serif"/>
          <w:sz w:val="28"/>
          <w:szCs w:val="20"/>
          <w:highlight w:val="none"/>
        </w:rPr>
      </w:r>
    </w:p>
    <w:p>
      <w:pPr>
        <w:suppressLineNumbers w:val="0"/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Члены УИК, члены ТИК, осуществляющие работу со средствами видеонаблюдения, должны проверить текущее состояние средства видеонаблюдения и убедиться, что все элементы средства видеонаблюдения включены в электрическую сет</w:t>
      </w:r>
      <w:r>
        <w:rPr>
          <w:rFonts w:ascii="PT Astra Serif" w:hAnsi="PT Astra Serif"/>
          <w:sz w:val="28"/>
          <w:szCs w:val="20"/>
        </w:rPr>
        <w:t xml:space="preserve">ь. 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b/>
          <w:sz w:val="28"/>
          <w:szCs w:val="20"/>
          <w:u w:val="single"/>
        </w:rPr>
        <w:t xml:space="preserve">Если средства видеонаблюдения</w:t>
      </w:r>
      <w:r>
        <w:rPr>
          <w:rFonts w:ascii="PT Astra Serif" w:hAnsi="PT Astra Serif"/>
          <w:sz w:val="28"/>
          <w:szCs w:val="20"/>
          <w:u w:val="single"/>
        </w:rPr>
        <w:t xml:space="preserve"> </w:t>
      </w:r>
      <w:r>
        <w:rPr>
          <w:rFonts w:ascii="PT Astra Serif" w:hAnsi="PT Astra Serif"/>
          <w:b/>
          <w:sz w:val="28"/>
          <w:szCs w:val="20"/>
          <w:u w:val="single"/>
        </w:rPr>
        <w:t xml:space="preserve">включены</w:t>
      </w:r>
      <w:r>
        <w:rPr>
          <w:rFonts w:ascii="PT Astra Serif" w:hAnsi="PT Astra Serif"/>
          <w:sz w:val="28"/>
          <w:szCs w:val="20"/>
        </w:rPr>
        <w:t xml:space="preserve">, то члены УИК, члены ТИК, осуществляющие работу со средствами видеонаблюдения, должны убедиться в их корректной работе: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на установленных в помещении для голосования, помещении ТИК камерах видеонаблюдения светятся </w:t>
      </w:r>
      <w:r>
        <w:rPr>
          <w:rFonts w:ascii="PT Astra Serif" w:hAnsi="PT Astra Serif"/>
          <w:sz w:val="28"/>
          <w:szCs w:val="20"/>
        </w:rPr>
        <w:t xml:space="preserve">индикаторы (при наличии);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на служебном портале отображаются видеоизображения с камер видеонаблюдения.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0"/>
        </w:rPr>
        <w:t xml:space="preserve">3. Действия членов УИК, членов ТИК, осуществляющих работу со средствами видеонаблюдения, при возникновении нештатной ситуации</w:t>
      </w:r>
      <w:r>
        <w:rPr>
          <w:rFonts w:ascii="PT Astra Serif" w:hAnsi="PT Astra Serif"/>
          <w:b/>
          <w:sz w:val="28"/>
          <w:szCs w:val="20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contextualSpacing/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0"/>
          <w:highlight w:val="none"/>
        </w:rPr>
      </w:r>
      <w:r>
        <w:rPr>
          <w:rFonts w:ascii="PT Astra Serif" w:hAnsi="PT Astra Serif"/>
          <w:b/>
          <w:sz w:val="28"/>
          <w:szCs w:val="20"/>
          <w:highlight w:val="none"/>
        </w:rPr>
      </w:r>
    </w:p>
    <w:p>
      <w:pPr>
        <w:suppressLineNumbers w:val="0"/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3.1. Перечень возможных неисправностей в работе средств видеонаблюдения: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tbl>
      <w:tblPr>
        <w:tblW w:w="9354" w:type="dxa"/>
        <w:tblInd w:w="113" w:type="dxa"/>
        <w:tblLayout w:type="fixed"/>
        <w:tblCellMar>
          <w:left w:w="113" w:type="dxa"/>
        </w:tblCellMar>
        <w:tblLook w:val="0000" w:firstRow="0" w:lastRow="0" w:firstColumn="0" w:lastColumn="0" w:noHBand="0" w:noVBand="0"/>
      </w:tblPr>
      <w:tblGrid>
        <w:gridCol w:w="567"/>
        <w:gridCol w:w="3260"/>
        <w:gridCol w:w="5528"/>
      </w:tblGrid>
      <w:tr>
        <w:trPr>
          <w:cantSplit/>
          <w:trHeight w:val="435"/>
          <w:tblHeader/>
        </w:trPr>
        <w:tblPrEx/>
        <w:tc>
          <w:tcPr>
            <w:tcW w:w="56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 xml:space="preserve">№</w:t>
            </w:r>
            <w:r>
              <w:rPr>
                <w:rFonts w:ascii="PT Astra Serif" w:hAnsi="PT Astra Serif"/>
                <w:b/>
              </w:rPr>
            </w:r>
            <w:r>
              <w:rPr>
                <w:rFonts w:ascii="PT Astra Serif" w:hAnsi="PT Astra Serif"/>
                <w:b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</w:rPr>
              <w:t xml:space="preserve">п/п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326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</w:rPr>
              <w:t xml:space="preserve">Описание неисправности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528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</w:rPr>
              <w:t xml:space="preserve">Рекомендуемые действия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</w:tr>
      <w:tr>
        <w:trPr>
          <w:cantSplit/>
          <w:trHeight w:val="435"/>
        </w:trPr>
        <w:tblPrEx/>
        <w:tc>
          <w:tcPr>
            <w:tcW w:w="56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1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326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 w:val="false"/>
            <w:textDirection w:val="lrTb"/>
          </w:tcPr>
          <w:p>
            <w:pPr>
              <w:contextualSpacing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Видеоизображение с камеры видеонаблюдения на экране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jc w:val="both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</w:rPr>
              <w:t xml:space="preserve">статично – не отображает движение объектов </w:t>
              <w:br/>
              <w:t xml:space="preserve">на служебном портале</w:t>
            </w:r>
            <w:r>
              <w:rPr>
                <w:rFonts w:ascii="PT Astra Serif" w:hAnsi="PT Astra Serif"/>
                <w:b/>
              </w:rPr>
            </w:r>
            <w:r>
              <w:rPr>
                <w:rFonts w:ascii="PT Astra Serif" w:hAnsi="PT Astra Serif"/>
                <w:b/>
              </w:rPr>
            </w:r>
          </w:p>
        </w:tc>
        <w:tc>
          <w:tcPr>
            <w:tcW w:w="5528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 w:val="false"/>
            <w:textDirection w:val="lrTb"/>
          </w:tcPr>
          <w:p>
            <w:pPr>
              <w:contextualSpacing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Обратиться к представителю технического оператора по телефону горячей линии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</w:tr>
      <w:tr>
        <w:trPr>
          <w:cantSplit/>
          <w:trHeight w:val="435"/>
        </w:trPr>
        <w:tblPrEx/>
        <w:tc>
          <w:tcPr>
            <w:tcW w:w="56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/>
            <w:textDirection w:val="lrTb"/>
          </w:tcPr>
          <w:p>
            <w:pPr>
              <w:spacing w:line="360" w:lineRule="auto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2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326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/>
            <w:textDirection w:val="lrTb"/>
          </w:tcPr>
          <w:p>
            <w:pPr>
              <w:contextualSpacing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Отключение электроэнергии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528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/>
            <w:textDirection w:val="lrTb"/>
          </w:tcPr>
          <w:p>
            <w:pPr>
              <w:contextualSpacing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 случае отключения электроэнергии незамедлительно сообщить: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ind w:firstLine="351"/>
              <w:contextualSpacing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 службу, несущую ответственность за бесперебойное обеспечение электроэнергией на объекте</w:t>
            </w:r>
            <w:r>
              <w:rPr>
                <w:rFonts w:ascii="PT Astra Serif" w:hAnsi="PT Astra Serif"/>
              </w:rPr>
              <w:t xml:space="preserve">, с целью уточнения сроков восстановления энергоснабжения;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ind w:firstLine="351"/>
              <w:contextualSpacing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представителю технического оператора </w:t>
              <w:br/>
              <w:t xml:space="preserve">по телефону горячей линии – время отключения электроэнергии и примерный срок восстановления энергоснабжения.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После включения электроэнергии выполнить действия </w:t>
            </w:r>
            <w:r>
              <w:rPr>
                <w:rFonts w:ascii="PT Astra Serif" w:hAnsi="PT Astra Serif"/>
              </w:rPr>
              <w:t xml:space="preserve">в соответствии с разделом 1 настоящей Инструкции и убедиться в работе средств видеонаблюдения в режиме «Идет запись».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</w:r>
            <w:r>
              <w:rPr>
                <w:rFonts w:ascii="PT Astra Serif" w:hAnsi="PT Astra Serif"/>
                <w:b/>
              </w:rPr>
            </w:r>
            <w:r>
              <w:rPr>
                <w:rFonts w:ascii="PT Astra Serif" w:hAnsi="PT Astra Serif"/>
                <w:b/>
              </w:rPr>
            </w:r>
          </w:p>
        </w:tc>
      </w:tr>
      <w:tr>
        <w:trPr>
          <w:cantSplit/>
          <w:trHeight w:val="435"/>
        </w:trPr>
        <w:tblPrEx/>
        <w:tc>
          <w:tcPr>
            <w:tcW w:w="56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3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326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/>
            <w:textDirection w:val="lrTb"/>
          </w:tcPr>
          <w:p>
            <w:pPr>
              <w:contextualSpacing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Камеры имеют неправильный ракурс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528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noWrap/>
            <w:textDirection w:val="lrTb"/>
          </w:tcPr>
          <w:p>
            <w:pPr>
              <w:contextualSpacing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Пере</w:t>
            </w:r>
            <w:r>
              <w:rPr>
                <w:rFonts w:ascii="PT Astra Serif" w:hAnsi="PT Astra Serif"/>
              </w:rPr>
              <w:t xml:space="preserve">двинуть мебель и технологическое оборудование для обеспечения выполнения требований к объектам видеонаблюдения. Если невозможно передвинуть мебель, сообщить </w:t>
              <w:br/>
              <w:t xml:space="preserve">по горячей линии представителю технического оператора и действовать согласно полученным инструкциям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jc w:val="both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</w:r>
            <w:r>
              <w:rPr>
                <w:rFonts w:ascii="PT Astra Serif" w:hAnsi="PT Astra Serif"/>
                <w:b/>
              </w:rPr>
            </w:r>
            <w:r>
              <w:rPr>
                <w:rFonts w:ascii="PT Astra Serif" w:hAnsi="PT Astra Serif"/>
                <w:b/>
              </w:rPr>
            </w:r>
          </w:p>
        </w:tc>
      </w:tr>
    </w:tbl>
    <w:p>
      <w:pPr>
        <w:spacing w:line="360" w:lineRule="auto"/>
        <w:ind w:firstLine="720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3.2. В случае если рекомендуемые действия не привели </w:t>
        <w:br/>
        <w:t xml:space="preserve">к восстановлению работоспособности средств видеонаблюдения, а также </w:t>
        <w:br/>
        <w:t xml:space="preserve">в случае выявления иных неисправностей в работе средств видеонаблюдения члены УИК, члены ТИК, осуществляющие работу со средствами в</w:t>
      </w:r>
      <w:r>
        <w:rPr>
          <w:rFonts w:ascii="PT Astra Serif" w:hAnsi="PT Astra Serif"/>
          <w:sz w:val="28"/>
          <w:szCs w:val="20"/>
        </w:rPr>
        <w:t xml:space="preserve">идеонаблюдения, сообщают об этом председателю соответствующей избирательной комиссии и по горячей линии представителю технического оператора.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  <w:t xml:space="preserve">3.3. В случае поступления от представителя технического оператора информации о нештатной ситуации, возникшей при о</w:t>
      </w:r>
      <w:r>
        <w:rPr>
          <w:rFonts w:ascii="PT Astra Serif" w:hAnsi="PT Astra Serif"/>
          <w:sz w:val="28"/>
          <w:szCs w:val="20"/>
        </w:rPr>
        <w:t xml:space="preserve">существлении трансляции из помещения для голосования, помещения ТИК, члены УИК, члены ТИК, осуществляющие работу со средствами видеонаблюдения, проводят соответствующую проверку данной информации, осуществляют необходимые действия в соответствии с указания</w:t>
      </w:r>
      <w:r>
        <w:rPr>
          <w:rFonts w:ascii="PT Astra Serif" w:hAnsi="PT Astra Serif"/>
          <w:sz w:val="28"/>
          <w:szCs w:val="20"/>
        </w:rPr>
        <w:t xml:space="preserve">ми, получаемыми </w:t>
        <w:br/>
        <w:t xml:space="preserve">от представителя технического оператора.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3.4. Все случаи прерывания трансляции автоматически фиксируются </w:t>
        <w:br/>
        <w:t xml:space="preserve">на служебном портале и отражаются в акте восстановления работоспособности средства видеонаблюдения с указанием причины неработоспособно</w:t>
      </w:r>
      <w:r>
        <w:rPr>
          <w:rFonts w:ascii="PT Astra Serif" w:hAnsi="PT Astra Serif"/>
          <w:sz w:val="28"/>
          <w:szCs w:val="28"/>
        </w:rPr>
        <w:t xml:space="preserve">сти средства видеонаблюдения, длительности и времени устранения неисправности. Акт восстановления работоспособности средства видеонаблюдения составляется представителем технического оператора </w:t>
        <w:br/>
        <w:t xml:space="preserve">в электронном виде с использованием средств служебного портала </w:t>
        <w:br/>
        <w:t xml:space="preserve">и</w:t>
      </w:r>
      <w:r>
        <w:rPr>
          <w:rFonts w:ascii="PT Astra Serif" w:hAnsi="PT Astra Serif"/>
          <w:sz w:val="28"/>
          <w:szCs w:val="28"/>
        </w:rPr>
        <w:t xml:space="preserve"> утверждается председателем (заместителем председателя) УИК, ТИК, ТИК ДЭГ.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line="360" w:lineRule="auto"/>
        <w:ind w:firstLine="720"/>
        <w:contextualSpacing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pacing w:after="120"/>
        <w:ind w:firstLine="720"/>
        <w:contextualSpacing/>
        <w:jc w:val="both"/>
        <w:rPr>
          <w:rFonts w:ascii="PT Astra Serif" w:hAnsi="PT Astra Serif"/>
          <w:sz w:val="28"/>
          <w:szCs w:val="20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1"/>
          <w:cols w:num="1" w:sep="0" w:space="720" w:equalWidth="1"/>
          <w:docGrid w:linePitch="360"/>
          <w:titlePg/>
        </w:sectPr>
      </w:pP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tbl>
      <w:tblPr>
        <w:tblW w:w="15558" w:type="dxa"/>
        <w:tblInd w:w="142" w:type="dxa"/>
        <w:tblLayout w:type="fixed"/>
        <w:tblLook w:val="0000" w:firstRow="0" w:lastRow="0" w:firstColumn="0" w:lastColumn="0" w:noHBand="0" w:noVBand="0"/>
      </w:tblPr>
      <w:tblGrid>
        <w:gridCol w:w="577"/>
        <w:gridCol w:w="2231"/>
        <w:gridCol w:w="2261"/>
        <w:gridCol w:w="2515"/>
        <w:gridCol w:w="2380"/>
        <w:gridCol w:w="2080"/>
        <w:gridCol w:w="1611"/>
        <w:gridCol w:w="1903"/>
      </w:tblGrid>
      <w:tr>
        <w:trPr>
          <w:trHeight w:val="772"/>
        </w:trPr>
        <w:tblPrEx/>
        <w:tc>
          <w:tcPr>
            <w:tcW w:w="15558" w:type="dxa"/>
            <w:gridSpan w:val="8"/>
            <w:tcBorders>
              <w:bottom w:val="single" w:color="auto" w:sz="4" w:space="0"/>
            </w:tcBorders>
            <w:noWrap w:val="false"/>
            <w:textDirection w:val="lrTb"/>
          </w:tcPr>
          <w:p>
            <w:pPr>
              <w:ind w:left="9071" w:right="0" w:firstLine="0"/>
              <w:contextualSpacing/>
              <w:jc w:val="center"/>
              <w:rPr>
                <w:rFonts w:ascii="PT Astra Serif" w:hAnsi="PT Astra Serif" w:cs="TimesNewRomanPSMT"/>
              </w:rPr>
            </w:pPr>
            <w:r>
              <w:rPr>
                <w:rFonts w:ascii="PT Astra Serif" w:hAnsi="PT Astra Serif" w:cs="TimesNewRomanPSMT"/>
              </w:rPr>
              <w:t xml:space="preserve">Приложение № 3</w:t>
            </w:r>
            <w:r>
              <w:rPr>
                <w:rFonts w:ascii="PT Astra Serif" w:hAnsi="PT Astra Serif" w:cs="TimesNewRomanPSMT"/>
              </w:rPr>
            </w:r>
            <w:r>
              <w:rPr>
                <w:rFonts w:ascii="PT Astra Serif" w:hAnsi="PT Astra Serif" w:cs="TimesNewRomanPSMT"/>
              </w:rPr>
            </w:r>
          </w:p>
          <w:p>
            <w:pPr>
              <w:tabs>
                <w:tab w:val="left" w:pos="0" w:leader="none"/>
              </w:tabs>
              <w:ind w:left="9071" w:right="0" w:firstLine="0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 w:cs="TimesNewRomanPSMT"/>
              </w:rPr>
              <w:t xml:space="preserve">к Порядку </w:t>
            </w:r>
            <w:r>
              <w:rPr>
                <w:rFonts w:ascii="PT Astra Serif" w:hAnsi="PT Astra Serif"/>
              </w:rPr>
              <w:t xml:space="preserve">применения средств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tabs>
                <w:tab w:val="left" w:pos="-533" w:leader="none"/>
              </w:tabs>
              <w:ind w:left="9071" w:right="0" w:firstLine="0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видеонаблюдения и трансляции изображения</w:t>
            </w:r>
            <w:r>
              <w:rPr>
                <w:rFonts w:ascii="PT Astra Serif" w:hAnsi="PT Astra Serif"/>
              </w:rPr>
              <w:br/>
              <w:t xml:space="preserve">при проведении выборов депутатов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tabs>
                <w:tab w:val="left" w:pos="-533" w:leader="none"/>
              </w:tabs>
              <w:ind w:left="9071" w:right="0" w:firstLine="0"/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Государственной Думы Федерального Собрания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ind w:left="9071" w:right="0" w:firstLine="0"/>
              <w:contextualSpacing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</w:rPr>
              <w:t xml:space="preserve">Российской Федерации девятого созыва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  <w:t xml:space="preserve">СВЕДЕНИЯ</w:t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</w:p>
          <w:p>
            <w:pPr>
              <w:tabs>
                <w:tab w:val="left" w:pos="0" w:leader="none"/>
              </w:tabs>
              <w:contextualSpacing/>
              <w:jc w:val="center"/>
              <w:rPr>
                <w:rFonts w:ascii="PT Astra Serif" w:hAnsi="PT Astra Serif" w:cs="TimesNewRomanPSMT"/>
                <w:b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  <w:t xml:space="preserve">об организации доступа к видеозаписям для органов и лиц, указанных в пунктах 6.4 и 6.5 Порядка </w:t>
            </w:r>
            <w:r>
              <w:rPr>
                <w:rFonts w:ascii="PT Astra Serif" w:hAnsi="PT Astra Serif" w:cs="TimesNewRomanPSMT"/>
                <w:b/>
                <w:sz w:val="28"/>
                <w:szCs w:val="28"/>
              </w:rPr>
              <w:t xml:space="preserve">применения</w:t>
            </w:r>
            <w:r>
              <w:rPr>
                <w:rFonts w:ascii="PT Astra Serif" w:hAnsi="PT Astra Serif" w:cs="TimesNewRomanPSMT"/>
                <w:b/>
                <w:sz w:val="28"/>
                <w:szCs w:val="28"/>
              </w:rPr>
            </w:r>
            <w:r>
              <w:rPr>
                <w:rFonts w:ascii="PT Astra Serif" w:hAnsi="PT Astra Serif" w:cs="TimesNewRomanPSMT"/>
                <w:b/>
                <w:sz w:val="28"/>
                <w:szCs w:val="28"/>
              </w:rPr>
            </w:r>
          </w:p>
          <w:p>
            <w:pPr>
              <w:tabs>
                <w:tab w:val="left" w:pos="0" w:leader="none"/>
              </w:tabs>
              <w:contextualSpacing/>
              <w:jc w:val="center"/>
              <w:rPr>
                <w:rFonts w:ascii="PT Astra Serif" w:hAnsi="PT Astra Serif" w:cs="TimesNewRomanPSMT"/>
                <w:b/>
                <w:sz w:val="28"/>
                <w:szCs w:val="28"/>
              </w:rPr>
            </w:pPr>
            <w:r>
              <w:rPr>
                <w:rFonts w:ascii="PT Astra Serif" w:hAnsi="PT Astra Serif" w:cs="TimesNewRomanPSMT"/>
                <w:b/>
                <w:sz w:val="28"/>
                <w:szCs w:val="28"/>
              </w:rPr>
              <w:t xml:space="preserve">средств видеонабл</w:t>
            </w:r>
            <w:r>
              <w:rPr>
                <w:rFonts w:ascii="PT Astra Serif" w:hAnsi="PT Astra Serif" w:cs="TimesNewRomanPSMT"/>
                <w:b/>
                <w:sz w:val="28"/>
                <w:szCs w:val="28"/>
              </w:rPr>
              <w:t xml:space="preserve">юдения и трансляции изображения при проведении выборов депутатов Государственной Думы Федерального Собрания Российской Федерации девятого созыва</w:t>
            </w:r>
            <w:r>
              <w:rPr>
                <w:rFonts w:ascii="PT Astra Serif" w:hAnsi="PT Astra Serif" w:cs="TimesNewRomanPSMT"/>
                <w:b/>
                <w:sz w:val="28"/>
                <w:szCs w:val="28"/>
              </w:rPr>
            </w:r>
            <w:r>
              <w:rPr>
                <w:rFonts w:ascii="PT Astra Serif" w:hAnsi="PT Astra Serif" w:cs="TimesNewRomanPSMT"/>
                <w:b/>
                <w:sz w:val="28"/>
                <w:szCs w:val="28"/>
              </w:rPr>
            </w:r>
          </w:p>
          <w:p>
            <w:pPr>
              <w:tabs>
                <w:tab w:val="left" w:pos="0" w:leader="none"/>
              </w:tabs>
              <w:contextualSpacing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  <w:r>
              <w:rPr>
                <w:rFonts w:ascii="PT Astra Serif" w:hAnsi="PT Astra Serif"/>
                <w:b/>
                <w:bCs/>
                <w:sz w:val="28"/>
                <w:szCs w:val="28"/>
              </w:rPr>
            </w:r>
          </w:p>
        </w:tc>
      </w:tr>
      <w:tr>
        <w:trPr>
          <w:trHeight w:val="2134"/>
        </w:trPr>
        <w:tblPrEx/>
        <w:tc>
          <w:tcPr>
            <w:tcW w:w="5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№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п/п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22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Наименование ИКСРФ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2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Наименование ТИК/номер избирательного участка, где проводилось видеонаблюдение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2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Органы и лица, направившие запрос, заявку на доступ к видеозаписи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23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ФИО,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статус заявителя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2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Нарушение законодательства о выборах, указанное </w:t>
              <w:br/>
              <w:t xml:space="preserve">в запросе, заявке 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16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Дата и время фрагмента видеозаписи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19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Результат рассмотрения (отказано/дата, время направления адресн</w:t>
            </w:r>
            <w:r>
              <w:rPr>
                <w:rFonts w:ascii="PT Astra Serif" w:hAnsi="PT Astra Serif"/>
              </w:rPr>
              <w:t xml:space="preserve">ой ссылки)</w:t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</w:tr>
      <w:tr>
        <w:trPr>
          <w:trHeight w:val="362"/>
        </w:trPr>
        <w:tblPrEx/>
        <w:tc>
          <w:tcPr>
            <w:tcW w:w="5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1</w:t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3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6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9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</w:tr>
      <w:tr>
        <w:trPr>
          <w:trHeight w:val="362"/>
        </w:trPr>
        <w:tblPrEx/>
        <w:tc>
          <w:tcPr>
            <w:tcW w:w="5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2</w:t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3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6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9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</w:tr>
      <w:tr>
        <w:trPr>
          <w:trHeight w:val="362"/>
        </w:trPr>
        <w:tblPrEx/>
        <w:tc>
          <w:tcPr>
            <w:tcW w:w="5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3</w:t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3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6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9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</w:tr>
      <w:tr>
        <w:trPr>
          <w:trHeight w:val="362"/>
        </w:trPr>
        <w:tblPrEx/>
        <w:tc>
          <w:tcPr>
            <w:tcW w:w="5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4</w:t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3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6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9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</w:tr>
      <w:tr>
        <w:trPr>
          <w:trHeight w:val="362"/>
        </w:trPr>
        <w:tblPrEx/>
        <w:tc>
          <w:tcPr>
            <w:tcW w:w="5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5</w:t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3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2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6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  <w:tc>
          <w:tcPr>
            <w:tcW w:w="19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  <w:r>
              <w:rPr>
                <w:rFonts w:ascii="PT Astra Serif" w:hAnsi="PT Astra Serif"/>
                <w:sz w:val="28"/>
                <w:szCs w:val="28"/>
              </w:rPr>
            </w:r>
          </w:p>
        </w:tc>
      </w:tr>
    </w:tbl>
    <w:p>
      <w:pPr>
        <w:contextualSpacing/>
        <w:rPr>
          <w:rFonts w:ascii="PT Astra Serif" w:hAnsi="PT Astra Serif"/>
          <w:b/>
          <w:sz w:val="34"/>
        </w:rPr>
        <w:sectPr>
          <w:headerReference w:type="default" r:id="rId12"/>
          <w:footnotePr/>
          <w:endnotePr/>
          <w:type w:val="nextPage"/>
          <w:pgSz w:w="16838" w:h="11906" w:orient="landscape"/>
          <w:pgMar w:top="851" w:right="567" w:bottom="1134" w:left="567" w:header="709" w:footer="709" w:gutter="0"/>
          <w:cols w:num="1" w:sep="0" w:space="720" w:equalWidth="1"/>
          <w:docGrid w:linePitch="360"/>
          <w:titlePg/>
        </w:sectPr>
      </w:pPr>
      <w:r>
        <w:rPr>
          <w:rFonts w:ascii="PT Astra Serif" w:hAnsi="PT Astra Serif"/>
          <w:b/>
          <w:sz w:val="34"/>
        </w:rPr>
      </w:r>
      <w:r>
        <w:rPr>
          <w:rFonts w:ascii="PT Astra Serif" w:hAnsi="PT Astra Serif"/>
          <w:b/>
          <w:sz w:val="34"/>
        </w:rPr>
      </w:r>
      <w:r>
        <w:rPr>
          <w:rFonts w:ascii="PT Astra Serif" w:hAnsi="PT Astra Serif"/>
          <w:b/>
          <w:sz w:val="34"/>
        </w:rPr>
      </w:r>
    </w:p>
    <w:tbl>
      <w:tblPr>
        <w:tblW w:w="9463" w:type="dxa"/>
        <w:tblInd w:w="108" w:type="dxa"/>
        <w:tblLook w:val="04A0" w:firstRow="1" w:lastRow="0" w:firstColumn="1" w:lastColumn="0" w:noHBand="0" w:noVBand="1"/>
      </w:tblPr>
      <w:tblGrid>
        <w:gridCol w:w="4158"/>
        <w:gridCol w:w="5305"/>
      </w:tblGrid>
      <w:tr>
        <w:trPr/>
        <w:tblPrEx/>
        <w:tc>
          <w:tcPr>
            <w:tcW w:w="4158" w:type="dxa"/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305" w:type="dxa"/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highlight w:val="none"/>
              </w:rPr>
            </w:pPr>
            <w:r>
              <w:rPr>
                <w:rFonts w:ascii="PT Astra Serif" w:hAnsi="PT Astra Serif"/>
                <w:szCs w:val="20"/>
              </w:rPr>
              <w:t xml:space="preserve">Приложение № 2</w:t>
            </w:r>
            <w:r>
              <w:rPr>
                <w:rFonts w:ascii="PT Astra Serif" w:hAnsi="PT Astra Serif"/>
                <w:szCs w:val="20"/>
              </w:rPr>
            </w:r>
            <w:r>
              <w:rPr>
                <w:rFonts w:ascii="PT Astra Serif" w:hAnsi="PT Astra Serif"/>
                <w:highlight w:val="none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  <w:sz w:val="4"/>
                <w:szCs w:val="4"/>
                <w:highlight w:val="none"/>
              </w:rPr>
            </w:pPr>
            <w:r>
              <w:rPr>
                <w:rFonts w:ascii="PT Astra Serif" w:hAnsi="PT Astra Serif"/>
                <w:sz w:val="4"/>
                <w:szCs w:val="4"/>
                <w:highlight w:val="none"/>
              </w:rPr>
            </w:r>
            <w:r>
              <w:rPr>
                <w:rFonts w:ascii="PT Astra Serif" w:hAnsi="PT Astra Serif"/>
                <w:sz w:val="4"/>
                <w:szCs w:val="4"/>
                <w:highlight w:val="none"/>
              </w:rPr>
            </w:r>
          </w:p>
        </w:tc>
      </w:tr>
      <w:tr>
        <w:trPr/>
        <w:tblPrEx/>
        <w:tc>
          <w:tcPr>
            <w:tcW w:w="4158" w:type="dxa"/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  <w:r>
              <w:rPr>
                <w:rFonts w:ascii="PT Astra Serif" w:hAnsi="PT Astra Serif"/>
              </w:rPr>
            </w:r>
          </w:p>
        </w:tc>
        <w:tc>
          <w:tcPr>
            <w:tcW w:w="5305" w:type="dxa"/>
            <w:noWrap w:val="false"/>
            <w:textDirection w:val="lrTb"/>
          </w:tcPr>
          <w:p>
            <w:pPr>
              <w:contextualSpacing/>
              <w:jc w:val="center"/>
              <w:rPr>
                <w:rFonts w:ascii="PT Astra Serif" w:hAnsi="PT Astra Serif"/>
                <w:szCs w:val="20"/>
              </w:rPr>
            </w:pPr>
            <w:r>
              <w:rPr>
                <w:rFonts w:ascii="PT Astra Serif" w:hAnsi="PT Astra Serif"/>
                <w:szCs w:val="20"/>
              </w:rPr>
              <w:t xml:space="preserve">УТВЕРЖДЕНЫ</w:t>
            </w:r>
            <w:r>
              <w:rPr>
                <w:rFonts w:ascii="PT Astra Serif" w:hAnsi="PT Astra Serif"/>
                <w:szCs w:val="20"/>
              </w:rPr>
            </w:r>
            <w:r>
              <w:rPr>
                <w:rFonts w:ascii="PT Astra Serif" w:hAnsi="PT Astra Serif"/>
                <w:szCs w:val="20"/>
              </w:rPr>
            </w:r>
          </w:p>
          <w:p>
            <w:pPr>
              <w:spacing w:after="120"/>
              <w:contextualSpacing/>
              <w:jc w:val="center"/>
              <w:rPr>
                <w:rFonts w:ascii="PT Astra Serif" w:hAnsi="PT Astra Serif"/>
                <w:szCs w:val="20"/>
              </w:rPr>
            </w:pPr>
            <w:r>
              <w:rPr>
                <w:rFonts w:ascii="PT Astra Serif" w:hAnsi="PT Astra Serif"/>
                <w:szCs w:val="20"/>
              </w:rPr>
              <w:t xml:space="preserve">постановлением Центральной избирательной комиссии Российской Федерации </w:t>
            </w:r>
            <w:r>
              <w:rPr>
                <w:rFonts w:ascii="PT Astra Serif" w:hAnsi="PT Astra Serif"/>
                <w:szCs w:val="20"/>
              </w:rPr>
            </w:r>
            <w:r>
              <w:rPr>
                <w:rFonts w:ascii="PT Astra Serif" w:hAnsi="PT Astra Serif"/>
                <w:szCs w:val="20"/>
              </w:rPr>
            </w:r>
          </w:p>
          <w:p>
            <w:pPr>
              <w:contextualSpacing/>
              <w:jc w:val="center"/>
              <w:rPr>
                <w:rFonts w:ascii="PT Astra Serif" w:hAnsi="PT Astra Serif"/>
                <w:sz w:val="28"/>
                <w:szCs w:val="20"/>
              </w:rPr>
            </w:pPr>
            <w:r>
              <w:rPr>
                <w:rFonts w:ascii="PT Astra Serif" w:hAnsi="PT Astra Serif"/>
                <w:szCs w:val="20"/>
              </w:rPr>
              <w:t xml:space="preserve">от 15 апреля 2026 г. № 3/29-9</w:t>
            </w:r>
            <w:r>
              <w:rPr>
                <w:rFonts w:ascii="PT Astra Serif" w:hAnsi="PT Astra Serif"/>
                <w:sz w:val="28"/>
                <w:szCs w:val="20"/>
              </w:rPr>
            </w:r>
          </w:p>
        </w:tc>
      </w:tr>
    </w:tbl>
    <w:p>
      <w:pPr>
        <w:rPr>
          <w:rFonts w:ascii="PT Astra Serif" w:hAnsi="PT Astra Serif"/>
          <w:b/>
        </w:rPr>
      </w:pPr>
      <w:r>
        <w:rPr>
          <w:rFonts w:ascii="PT Astra Serif" w:hAnsi="PT Astra Serif"/>
          <w:b/>
        </w:rPr>
      </w:r>
      <w:r>
        <w:rPr>
          <w:rFonts w:ascii="PT Astra Serif" w:hAnsi="PT Astra Serif"/>
          <w:b/>
        </w:rPr>
      </w:r>
      <w:r>
        <w:rPr>
          <w:rFonts w:ascii="PT Astra Serif" w:hAnsi="PT Astra Serif"/>
          <w:b/>
        </w:rPr>
      </w:r>
    </w:p>
    <w:p>
      <w:pPr>
        <w:rPr>
          <w:rFonts w:ascii="PT Astra Serif" w:hAnsi="PT Astra Serif"/>
          <w:b/>
        </w:rPr>
      </w:pPr>
      <w:r>
        <w:rPr>
          <w:rFonts w:ascii="PT Astra Serif" w:hAnsi="PT Astra Serif"/>
          <w:b/>
        </w:rPr>
      </w:r>
      <w:r>
        <w:rPr>
          <w:rFonts w:ascii="PT Astra Serif" w:hAnsi="PT Astra Serif"/>
          <w:b/>
        </w:rPr>
      </w:r>
      <w:r>
        <w:rPr>
          <w:rFonts w:ascii="PT Astra Serif" w:hAnsi="PT Astra Serif"/>
          <w:b/>
        </w:rPr>
      </w:r>
    </w:p>
    <w:p>
      <w:pPr>
        <w:jc w:val="center"/>
        <w:outlineLvl w:val="0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t xml:space="preserve">Рекомендации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sz w:val="28"/>
          <w:szCs w:val="28"/>
        </w:rPr>
      </w:r>
    </w:p>
    <w:p>
      <w:pPr>
        <w:jc w:val="center"/>
        <w:rPr>
          <w:rFonts w:ascii="PT Astra Serif" w:hAnsi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/>
          <w:b/>
          <w:sz w:val="28"/>
          <w:szCs w:val="28"/>
        </w:rPr>
        <w:t xml:space="preserve">по применению в участковых и территориальных избирательных комиссиях средств видеорегистрации (видеофиксации) при проведении выборов 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/>
          <w:b/>
          <w:sz w:val="28"/>
          <w:szCs w:val="28"/>
        </w:rPr>
      </w:r>
      <w:r>
        <w:rPr>
          <w:rFonts w:ascii="PT Astra Serif" w:hAnsi="PT Astra Serif"/>
          <w:b/>
          <w:bCs/>
          <w:sz w:val="28"/>
          <w:szCs w:val="28"/>
          <w:highlight w:val="none"/>
        </w:rPr>
      </w:r>
    </w:p>
    <w:p>
      <w:pPr>
        <w:jc w:val="center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  <w:highlight w:val="none"/>
        </w:rPr>
      </w:r>
      <w:r>
        <w:rPr>
          <w:rFonts w:ascii="PT Astra Serif" w:hAnsi="PT Astra Serif"/>
          <w:b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 Настоящие Рекомендации определяют порядок применения средств видеорегистрации (видеофиксации) при проведении выборов депутатов Государственной Думы Федерального Собрания Российской Федерации девятого созыва.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 Средства видеорегистрации (видеофиксации) </w:t>
      </w:r>
      <w:r>
        <w:rPr>
          <w:rFonts w:ascii="PT Astra Serif" w:hAnsi="PT Astra Serif"/>
          <w:sz w:val="28"/>
          <w:szCs w:val="28"/>
        </w:rPr>
        <w:t xml:space="preserve">применяются </w:t>
      </w:r>
      <w:r>
        <w:rPr>
          <w:rFonts w:ascii="PT Astra Serif" w:hAnsi="PT Astra Serif"/>
          <w:sz w:val="28"/>
          <w:szCs w:val="28"/>
        </w:rPr>
        <w:br/>
        <w:t xml:space="preserve">в помещениях участковых избирательных комиссий (помещениях для голосования) и помещениях территориальных избирательных комиссий </w:t>
      </w:r>
      <w:r>
        <w:rPr>
          <w:rFonts w:ascii="PT Astra Serif" w:hAnsi="PT Astra Serif"/>
          <w:sz w:val="28"/>
          <w:szCs w:val="28"/>
        </w:rPr>
        <w:br/>
        <w:t xml:space="preserve">(далее – помещения ТИК), не оборудованных средствами видеонаблюдения </w:t>
      </w:r>
      <w:r>
        <w:rPr>
          <w:rFonts w:ascii="PT Astra Serif" w:hAnsi="PT Astra Serif"/>
          <w:sz w:val="28"/>
          <w:szCs w:val="28"/>
        </w:rPr>
        <w:br/>
        <w:t xml:space="preserve">и трансляции изображения.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3. Средства видеор</w:t>
      </w:r>
      <w:r>
        <w:rPr>
          <w:rFonts w:ascii="PT Astra Serif" w:hAnsi="PT Astra Serif"/>
          <w:sz w:val="28"/>
          <w:szCs w:val="28"/>
        </w:rPr>
        <w:t xml:space="preserve">егистрации (видеофиксации) представляют собой устройства стационарного или передвижного типа, предназначенные для записи, хранения и воспроизведения видеоинформации, и предоставляются по заявкам избирательных комиссий органами государственной власти, орган</w:t>
      </w:r>
      <w:r>
        <w:rPr>
          <w:rFonts w:ascii="PT Astra Serif" w:hAnsi="PT Astra Serif"/>
          <w:sz w:val="28"/>
          <w:szCs w:val="28"/>
        </w:rPr>
        <w:t xml:space="preserve">ами местного самоуправления в рамках установленной законом обязанности по оказанию избирательным комиссиям содействия </w:t>
        <w:br/>
        <w:t xml:space="preserve">в реализации их полномочий, вышестоящими избирательными комиссиями.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4. В зоне видимости средств видеорегистрации (видеофиксации) </w:t>
      </w:r>
      <w:r>
        <w:rPr>
          <w:rFonts w:ascii="PT Astra Serif" w:hAnsi="PT Astra Serif"/>
          <w:sz w:val="28"/>
          <w:szCs w:val="28"/>
        </w:rPr>
        <w:br/>
        <w:t xml:space="preserve">в помеще</w:t>
      </w:r>
      <w:r>
        <w:rPr>
          <w:rFonts w:ascii="PT Astra Serif" w:hAnsi="PT Astra Serif"/>
          <w:sz w:val="28"/>
          <w:szCs w:val="28"/>
        </w:rPr>
        <w:t xml:space="preserve">ниях участковых избирательных комиссий (помещениях для голосования) должны находиться: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ходе голосования – стационарные и переносные ящики для голосования; комплексы обработки избирательных бюллетеней (в случае их использования);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места, где производится </w:t>
      </w:r>
      <w:r>
        <w:rPr>
          <w:rFonts w:ascii="PT Astra Serif" w:hAnsi="PT Astra Serif"/>
          <w:sz w:val="28"/>
          <w:szCs w:val="28"/>
        </w:rPr>
        <w:t xml:space="preserve">перемещение избирательных бюллетеней </w:t>
      </w:r>
      <w:r>
        <w:rPr>
          <w:rFonts w:ascii="PT Astra Serif" w:hAnsi="PT Astra Serif"/>
          <w:sz w:val="28"/>
          <w:szCs w:val="28"/>
        </w:rPr>
        <w:br/>
        <w:t xml:space="preserve">из ящиков для голосования в сейф-пакеты;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ночное время – сейфы (металлические шкафы, металлические ящики), где хранятся сейф-пакеты с избирательными бюллетенями; стационарные ящики для голосования, в случае если они и</w:t>
      </w:r>
      <w:r>
        <w:rPr>
          <w:rFonts w:ascii="PT Astra Serif" w:hAnsi="PT Astra Serif"/>
          <w:sz w:val="28"/>
          <w:szCs w:val="28"/>
        </w:rPr>
        <w:t xml:space="preserve">спользуются для хранения избирательных бюллетеней; комплексы обработки избирательных бюллетеней (в случае их использования) в период хранения в них избирательных бюллетеней;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проведении подсчета голосов избирателей – места погашения неиспользованных из</w:t>
      </w:r>
      <w:r>
        <w:rPr>
          <w:rFonts w:ascii="PT Astra Serif" w:hAnsi="PT Astra Serif"/>
          <w:sz w:val="28"/>
          <w:szCs w:val="28"/>
        </w:rPr>
        <w:t xml:space="preserve">бирательных бюллетеней; места подсчета голосов избирателей по избирательным бюллетеням, извлеченным из сейф-пакетов; места непосредственного подсчета голосов избирателей по избирательным бюллетеням.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случае если устройства видеорегистрации (видеофиксации)</w:t>
      </w:r>
      <w:r>
        <w:rPr>
          <w:rFonts w:ascii="PT Astra Serif" w:hAnsi="PT Astra Serif"/>
          <w:sz w:val="28"/>
          <w:szCs w:val="28"/>
        </w:rPr>
        <w:t xml:space="preserve"> </w:t>
        <w:br/>
        <w:t xml:space="preserve">не обладают возможностью осуществлять видеорегистрацию (видеофиксацию) в отсутствии освещения (в режиме ночной съемки), </w:t>
        <w:br/>
        <w:t xml:space="preserve">то в зоне их видимости должно быть организовано необходимое для их работы освещение.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5. В зоне видимости средств видеорегистрации (виде</w:t>
      </w:r>
      <w:r>
        <w:rPr>
          <w:rFonts w:ascii="PT Astra Serif" w:hAnsi="PT Astra Serif"/>
          <w:sz w:val="28"/>
          <w:szCs w:val="28"/>
        </w:rPr>
        <w:t xml:space="preserve">офиксации) </w:t>
      </w:r>
      <w:r>
        <w:rPr>
          <w:rFonts w:ascii="PT Astra Serif" w:hAnsi="PT Astra Serif"/>
          <w:sz w:val="28"/>
          <w:szCs w:val="28"/>
        </w:rPr>
        <w:br/>
        <w:t xml:space="preserve">в помещениях ТИК должно находиться место, где осуществляются прием протоколов участковых избирательных комиссий об итогах голосования; суммирование данных, содержащихся в этих протоколах; проведение итогового заседания территориальной избирател</w:t>
      </w:r>
      <w:r>
        <w:rPr>
          <w:rFonts w:ascii="PT Astra Serif" w:hAnsi="PT Astra Serif"/>
          <w:sz w:val="28"/>
          <w:szCs w:val="28"/>
        </w:rPr>
        <w:t xml:space="preserve">ьной комиссии </w:t>
        <w:br/>
        <w:t xml:space="preserve">и составление протоколов территориальной избирательной комиссии </w:t>
        <w:br/>
        <w:t xml:space="preserve">об итогах голосования на соответствующей территории.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  <w:highlight w:val="none"/>
        </w:rPr>
      </w:pPr>
      <w:r>
        <w:rPr>
          <w:rFonts w:ascii="PT Astra Serif" w:hAnsi="PT Astra Serif"/>
          <w:sz w:val="28"/>
          <w:szCs w:val="28"/>
        </w:rPr>
        <w:t xml:space="preserve">6. Контроль за выполнением пунктов 4 и 5 настоящих Рекомендаций осуществляет председатель соответствующей избирательной комис</w:t>
      </w:r>
      <w:r>
        <w:rPr>
          <w:rFonts w:ascii="PT Astra Serif" w:hAnsi="PT Astra Serif"/>
          <w:sz w:val="28"/>
          <w:szCs w:val="28"/>
        </w:rPr>
        <w:t xml:space="preserve">сии.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7. Размер (емкость) памяти используемого средства видеорегистрации (видеофиксации) должен (должна) быть достаточен (достаточна) для хранения видеоизображения в течение всего времени работы устройства </w:t>
        <w:br/>
        <w:t xml:space="preserve">в соответствии с пунктами 4 и 5 настоящих Рекоменда</w:t>
      </w:r>
      <w:r>
        <w:rPr>
          <w:rFonts w:ascii="PT Astra Serif" w:hAnsi="PT Astra Serif"/>
          <w:sz w:val="28"/>
          <w:szCs w:val="28"/>
        </w:rPr>
        <w:t xml:space="preserve">ций.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течение времени работы устройства допускается периодический перенос информации на внешнее устройство хранения.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8. Видеоизображения, полученные с использованием средств видеорегистрации (видеофиксации), используются избирательными комиссиями при рас</w:t>
      </w:r>
      <w:r>
        <w:rPr>
          <w:rFonts w:ascii="PT Astra Serif" w:hAnsi="PT Astra Serif"/>
          <w:sz w:val="28"/>
          <w:szCs w:val="28"/>
        </w:rPr>
        <w:t xml:space="preserve">смотрении жалоб, поступивших в день (дни) голосования, с учетом пункта 10 статьи 75 Федерального закона </w:t>
      </w:r>
      <w:r>
        <w:rPr>
          <w:rFonts w:ascii="PT Astra Serif" w:hAnsi="PT Astra Serif"/>
          <w:sz w:val="28"/>
          <w:szCs w:val="28"/>
        </w:rPr>
        <w:br/>
        <w:t xml:space="preserve">«Об основных гарантиях избирательных прав и права на участие </w:t>
        <w:br/>
        <w:t xml:space="preserve">в референдуме граждан Российской Федерации».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9. Видеоизображения, полученные с использован</w:t>
      </w:r>
      <w:r>
        <w:rPr>
          <w:rFonts w:ascii="PT Astra Serif" w:hAnsi="PT Astra Serif"/>
          <w:sz w:val="28"/>
          <w:szCs w:val="28"/>
        </w:rPr>
        <w:t xml:space="preserve">ием средств видеорегистрации (видеофиксации), предоставляются по запросу суда, рассматривающего соответствующее административное дело, уголовное дело, дело об административном правонарушении, а также по запросу прокурора, следователя, иного должностного ли</w:t>
      </w:r>
      <w:r>
        <w:rPr>
          <w:rFonts w:ascii="PT Astra Serif" w:hAnsi="PT Astra Serif"/>
          <w:sz w:val="28"/>
          <w:szCs w:val="28"/>
        </w:rPr>
        <w:t xml:space="preserve">ца, осуществляющего свою деятельность в связи с решением вопроса о возбуждении дела </w:t>
        <w:br/>
        <w:t xml:space="preserve">об административном правонарушении, о возбуждении уголовного дела </w:t>
        <w:br/>
        <w:t xml:space="preserve">и (или) проведением расследования указанных дел.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10. </w:t>
      </w:r>
      <w:r>
        <w:rPr>
          <w:rFonts w:ascii="PT Astra Serif" w:hAnsi="PT Astra Serif"/>
          <w:sz w:val="28"/>
          <w:szCs w:val="28"/>
        </w:rPr>
        <w:t xml:space="preserve">Видеоизображения, полученные с использованием средств</w:t>
      </w:r>
      <w:r>
        <w:rPr>
          <w:rFonts w:ascii="PT Astra Serif" w:hAnsi="PT Astra Serif"/>
          <w:sz w:val="28"/>
          <w:szCs w:val="28"/>
        </w:rPr>
        <w:t xml:space="preserve"> видеорегистрации (видеофиксации), могут быть предоставлены избирательными комиссиями для использования в работе общественных штабов (центров) по наблюдению за выборами.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0"/>
        </w:rPr>
      </w:pPr>
      <w:r>
        <w:rPr>
          <w:rFonts w:ascii="PT Astra Serif" w:hAnsi="PT Astra Serif"/>
          <w:sz w:val="28"/>
          <w:szCs w:val="28"/>
        </w:rPr>
        <w:t xml:space="preserve">11. Видеоизображения, полученные с использованием средств видеорегистрации (видеофиксации), хранятся в избирательных комиссиях субъектов Российской Федерации в течение трех месяцев </w:t>
      </w:r>
      <w:r>
        <w:rPr>
          <w:rFonts w:ascii="PT Astra Serif" w:hAnsi="PT Astra Serif"/>
          <w:sz w:val="28"/>
          <w:szCs w:val="20"/>
        </w:rPr>
        <w:t xml:space="preserve">со дня официального опубликования общих результатов выборов </w:t>
      </w:r>
      <w:r>
        <w:rPr>
          <w:rFonts w:ascii="PT Astra Serif" w:hAnsi="PT Astra Serif"/>
          <w:sz w:val="28"/>
          <w:szCs w:val="28"/>
        </w:rPr>
        <w:t xml:space="preserve">депутатов Госуд</w:t>
      </w:r>
      <w:r>
        <w:rPr>
          <w:rFonts w:ascii="PT Astra Serif" w:hAnsi="PT Astra Serif"/>
          <w:sz w:val="28"/>
          <w:szCs w:val="28"/>
        </w:rPr>
        <w:t xml:space="preserve">арственной Думы Федерального Собрания Российской Федерации девятого созыва</w:t>
      </w:r>
      <w:r>
        <w:rPr>
          <w:rFonts w:ascii="PT Astra Serif" w:hAnsi="PT Astra Serif"/>
          <w:sz w:val="28"/>
          <w:szCs w:val="20"/>
        </w:rPr>
        <w:t xml:space="preserve">.</w:t>
      </w:r>
      <w:r>
        <w:rPr>
          <w:rFonts w:ascii="PT Astra Serif" w:hAnsi="PT Astra Serif"/>
          <w:sz w:val="28"/>
          <w:szCs w:val="20"/>
        </w:rPr>
      </w:r>
      <w:r>
        <w:rPr>
          <w:rFonts w:ascii="PT Astra Serif" w:hAnsi="PT Astra Serif"/>
          <w:sz w:val="28"/>
          <w:szCs w:val="20"/>
        </w:rPr>
      </w:r>
    </w:p>
    <w:p>
      <w:pPr>
        <w:suppressLineNumbers w:val="0"/>
        <w:spacing w:before="0" w:beforeAutospacing="0" w:after="0" w:afterAutospacing="0" w:line="360" w:lineRule="auto"/>
        <w:ind w:firstLine="709"/>
        <w:contextualSpacing w:val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случае рассмотрения в суде жалобы (заявления) на решение избирательной комиссии об итогах голосования, о результатах выборов или возбуждения уголовного дела, связанного с нарушен</w:t>
      </w:r>
      <w:r>
        <w:rPr>
          <w:rFonts w:ascii="PT Astra Serif" w:hAnsi="PT Astra Serif"/>
          <w:sz w:val="28"/>
          <w:szCs w:val="28"/>
        </w:rPr>
        <w:t xml:space="preserve">ием избирательных прав граждан Российской Федерации, сроки хранения соответствующих видеоизображений продлеваются до вступления в законную силу решения суда либо до прекращения уголовного дела в соответствии с законом.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after="120"/>
        <w:contextualSpacing/>
        <w:rPr>
          <w:rFonts w:ascii="PT Astra Serif" w:hAnsi="PT Astra Serif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pgNumType w:start="1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NewRomanPSMT">
    <w:panose1 w:val="02020603050405020304"/>
  </w:font>
  <w:font w:name="Wingdings">
    <w:panose1 w:val="05010000000000000000"/>
  </w:font>
  <w:font w:name="Courier New">
    <w:panose1 w:val="02070309020205020404"/>
  </w:font>
  <w:font w:name="Symbol">
    <w:panose1 w:val="05050102010706020507"/>
  </w:font>
  <w:font w:name="Times New Roman CYR">
    <w:panose1 w:val="02020603050405020304"/>
  </w:font>
  <w:font w:name="Calibri">
    <w:panose1 w:val="020F0502020204030204"/>
  </w:font>
  <w:font w:name="Cambria">
    <w:panose1 w:val="02040503050406030204"/>
  </w:font>
  <w:font w:name="Tahoma">
    <w:panose1 w:val="020B0604030504040204"/>
  </w:font>
  <w:font w:name="PT Astra Serif">
    <w:panose1 w:val="020A0603040505020204"/>
  </w:font>
  <w:font w:name="Arial">
    <w:panose1 w:val="020B0604020202020204"/>
  </w:font>
  <w:font w:name="Times New Roman">
    <w:panose1 w:val="020206030504050203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29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s0304022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29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s0304022</w:t>
    </w:r>
    <w:r>
      <w:rPr>
        <w:rFonts w:ascii="PT Astra Serif" w:hAnsi="PT Astra Serif" w:eastAsia="PT Astra Serif" w:cs="PT Astra Serif"/>
        <w:sz w:val="16"/>
        <w:szCs w:val="16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27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eastAsia="PT Astra Serif" w:cs="PT Astra Serif"/>
        <w:sz w:val="24"/>
        <w:szCs w:val="24"/>
      </w:rPr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2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27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eastAsia="PT Astra Serif" w:cs="PT Astra Serif"/>
        <w:sz w:val="24"/>
        <w:szCs w:val="24"/>
      </w:rPr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27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eastAsia="PT Astra Serif" w:cs="PT Astra Serif"/>
        <w:sz w:val="24"/>
        <w:szCs w:val="24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 w:eastAsia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multiLevelType w:val="hybridMultilevel"/>
    <w:lvl w:ilvl="0">
      <w:start w:val="1"/>
      <w:numFmt w:val="none"/>
      <w:pStyle w:val="933"/>
      <w:isLgl w:val="false"/>
      <w:suff w:val="nothing"/>
      <w:lvlText w:val=""/>
      <w:lvlJc w:val="left"/>
      <w:pPr/>
      <w:rPr>
        <w:rFonts w:cs="Times New Roman"/>
      </w:rPr>
    </w:lvl>
    <w:lvl w:ilvl="1">
      <w:start w:val="1"/>
      <w:numFmt w:val="none"/>
      <w:pStyle w:val="934"/>
      <w:isLgl w:val="false"/>
      <w:suff w:val="nothing"/>
      <w:lvlText w:val=""/>
      <w:lvlJc w:val="left"/>
      <w:pPr/>
      <w:rPr>
        <w:rFonts w:cs="Times New Roman"/>
      </w:rPr>
    </w:lvl>
    <w:lvl w:ilvl="2">
      <w:start w:val="1"/>
      <w:numFmt w:val="none"/>
      <w:pStyle w:val="935"/>
      <w:isLgl w:val="false"/>
      <w:suff w:val="nothing"/>
      <w:lvlText w:val=""/>
      <w:lvlJc w:val="left"/>
      <w:pPr/>
      <w:rPr>
        <w:rFonts w:cs="Times New Roman"/>
      </w:rPr>
    </w:lvl>
    <w:lvl w:ilvl="3">
      <w:start w:val="1"/>
      <w:numFmt w:val="none"/>
      <w:pStyle w:val="936"/>
      <w:isLgl w:val="false"/>
      <w:suff w:val="nothing"/>
      <w:lvlText w:val=""/>
      <w:lvlJc w:val="left"/>
      <w:pPr/>
      <w:rPr>
        <w:rFonts w:cs="Times New Roman"/>
      </w:rPr>
    </w:lvl>
    <w:lvl w:ilvl="4">
      <w:start w:val="1"/>
      <w:numFmt w:val="none"/>
      <w:isLgl w:val="false"/>
      <w:suff w:val="nothing"/>
      <w:lvlText w:val=""/>
      <w:lvlJc w:val="left"/>
      <w:pPr/>
      <w:rPr>
        <w:rFonts w:cs="Times New Roman"/>
      </w:rPr>
    </w:lvl>
    <w:lvl w:ilvl="5">
      <w:start w:val="1"/>
      <w:numFmt w:val="none"/>
      <w:isLgl w:val="false"/>
      <w:suff w:val="nothing"/>
      <w:lvlText w:val=""/>
      <w:lvlJc w:val="left"/>
      <w:pPr/>
      <w:rPr>
        <w:rFonts w:cs="Times New Roman"/>
      </w:rPr>
    </w:lvl>
    <w:lvl w:ilvl="6">
      <w:start w:val="1"/>
      <w:numFmt w:val="none"/>
      <w:isLgl w:val="false"/>
      <w:suff w:val="nothing"/>
      <w:lvlText w:val=""/>
      <w:lvlJc w:val="left"/>
      <w:pPr/>
      <w:rPr>
        <w:rFonts w:cs="Times New Roman"/>
      </w:rPr>
    </w:lvl>
    <w:lvl w:ilvl="7">
      <w:start w:val="1"/>
      <w:numFmt w:val="none"/>
      <w:isLgl w:val="false"/>
      <w:suff w:val="nothing"/>
      <w:lvlText w:val=""/>
      <w:lvlJc w:val="left"/>
      <w:pPr/>
      <w:rPr>
        <w:rFonts w:cs="Times New Roman"/>
      </w:rPr>
    </w:lvl>
    <w:lvl w:ilvl="8">
      <w:start w:val="1"/>
      <w:numFmt w:val="none"/>
      <w:isLgl w:val="false"/>
      <w:suff w:val="nothing"/>
      <w:lvlText w:val=""/>
      <w:lvlJc w:val="left"/>
      <w:pPr/>
      <w:rPr>
        <w:rFonts w:cs="Times New Roman"/>
      </w:r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eastAsia="Times New Roman" w:asciiTheme="minorHAnsi" w:hAnsiTheme="minorHAnsi" w:cstheme="minorHAns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37" w:default="1">
    <w:name w:val="Normal"/>
    <w:qFormat/>
    <w:pPr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738" w:default="1">
    <w:name w:val="Default Paragraph Font"/>
    <w:uiPriority w:val="1"/>
    <w:semiHidden/>
    <w:unhideWhenUsed/>
  </w:style>
  <w:style w:type="table" w:styleId="739" w:default="1">
    <w:name w:val="Normal Table"/>
    <w:uiPriority w:val="99"/>
    <w:semiHidden/>
    <w:unhideWhenUsed/>
    <w:qFormat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40" w:default="1">
    <w:name w:val="No List"/>
    <w:uiPriority w:val="99"/>
    <w:semiHidden/>
    <w:unhideWhenUsed/>
  </w:style>
  <w:style w:type="paragraph" w:styleId="741" w:customStyle="1">
    <w:name w:val="Heading 1"/>
    <w:basedOn w:val="737"/>
    <w:next w:val="737"/>
    <w:link w:val="924"/>
    <w:uiPriority w:val="9"/>
    <w:qFormat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742" w:customStyle="1">
    <w:name w:val="Heading 2"/>
    <w:basedOn w:val="737"/>
    <w:next w:val="737"/>
    <w:link w:val="764"/>
    <w:uiPriority w:val="9"/>
    <w:unhideWhenUsed/>
    <w:qFormat/>
    <w:pPr>
      <w:keepNext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743" w:customStyle="1">
    <w:name w:val="Heading 3"/>
    <w:basedOn w:val="737"/>
    <w:next w:val="737"/>
    <w:link w:val="765"/>
    <w:uiPriority w:val="9"/>
    <w:unhideWhenUsed/>
    <w:qFormat/>
    <w:pPr>
      <w:keepNext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744" w:customStyle="1">
    <w:name w:val="Heading 4"/>
    <w:basedOn w:val="737"/>
    <w:next w:val="737"/>
    <w:link w:val="766"/>
    <w:uiPriority w:val="9"/>
    <w:unhideWhenUsed/>
    <w:qFormat/>
    <w:pPr>
      <w:keepNext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745" w:customStyle="1">
    <w:name w:val="Heading 5"/>
    <w:basedOn w:val="737"/>
    <w:next w:val="737"/>
    <w:link w:val="767"/>
    <w:uiPriority w:val="9"/>
    <w:unhideWhenUsed/>
    <w:qFormat/>
    <w:pPr>
      <w:keepNext/>
      <w:keepLines/>
      <w:spacing w:before="320" w:after="200"/>
      <w:outlineLvl w:val="4"/>
    </w:pPr>
    <w:rPr>
      <w:rFonts w:ascii="Arial" w:hAnsi="Arial" w:eastAsia="Arial" w:cs="Arial"/>
      <w:b/>
      <w:bCs/>
    </w:rPr>
  </w:style>
  <w:style w:type="paragraph" w:styleId="746" w:customStyle="1">
    <w:name w:val="Heading 6"/>
    <w:basedOn w:val="737"/>
    <w:next w:val="737"/>
    <w:link w:val="768"/>
    <w:uiPriority w:val="9"/>
    <w:unhideWhenUsed/>
    <w:qFormat/>
    <w:pPr>
      <w:keepNext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47" w:customStyle="1">
    <w:name w:val="Heading 7"/>
    <w:basedOn w:val="737"/>
    <w:next w:val="737"/>
    <w:link w:val="769"/>
    <w:uiPriority w:val="9"/>
    <w:unhideWhenUsed/>
    <w:qFormat/>
    <w:pPr>
      <w:keepNext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748" w:customStyle="1">
    <w:name w:val="Heading 8"/>
    <w:basedOn w:val="737"/>
    <w:next w:val="737"/>
    <w:link w:val="770"/>
    <w:uiPriority w:val="9"/>
    <w:unhideWhenUsed/>
    <w:qFormat/>
    <w:pPr>
      <w:keepNext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749" w:customStyle="1">
    <w:name w:val="Heading 9"/>
    <w:basedOn w:val="737"/>
    <w:next w:val="737"/>
    <w:link w:val="771"/>
    <w:uiPriority w:val="9"/>
    <w:unhideWhenUsed/>
    <w:qFormat/>
    <w:pPr>
      <w:keepNext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50" w:customStyle="1">
    <w:name w:val="Heading 2 Char"/>
    <w:basedOn w:val="738"/>
    <w:uiPriority w:val="9"/>
    <w:rPr>
      <w:rFonts w:ascii="Arial" w:hAnsi="Arial" w:eastAsia="Arial" w:cs="Arial"/>
      <w:sz w:val="34"/>
    </w:rPr>
  </w:style>
  <w:style w:type="character" w:styleId="751" w:customStyle="1">
    <w:name w:val="Heading 3 Char"/>
    <w:basedOn w:val="738"/>
    <w:uiPriority w:val="9"/>
    <w:rPr>
      <w:rFonts w:ascii="Arial" w:hAnsi="Arial" w:eastAsia="Arial" w:cs="Arial"/>
      <w:sz w:val="30"/>
      <w:szCs w:val="30"/>
    </w:rPr>
  </w:style>
  <w:style w:type="character" w:styleId="752" w:customStyle="1">
    <w:name w:val="Heading 4 Char"/>
    <w:basedOn w:val="738"/>
    <w:uiPriority w:val="9"/>
    <w:rPr>
      <w:rFonts w:ascii="Arial" w:hAnsi="Arial" w:eastAsia="Arial" w:cs="Arial"/>
      <w:b/>
      <w:bCs/>
      <w:sz w:val="26"/>
      <w:szCs w:val="26"/>
    </w:rPr>
  </w:style>
  <w:style w:type="character" w:styleId="753" w:customStyle="1">
    <w:name w:val="Heading 5 Char"/>
    <w:basedOn w:val="738"/>
    <w:uiPriority w:val="9"/>
    <w:rPr>
      <w:rFonts w:ascii="Arial" w:hAnsi="Arial" w:eastAsia="Arial" w:cs="Arial"/>
      <w:b/>
      <w:bCs/>
      <w:sz w:val="24"/>
      <w:szCs w:val="24"/>
    </w:rPr>
  </w:style>
  <w:style w:type="character" w:styleId="754" w:customStyle="1">
    <w:name w:val="Heading 6 Char"/>
    <w:basedOn w:val="738"/>
    <w:uiPriority w:val="9"/>
    <w:rPr>
      <w:rFonts w:ascii="Arial" w:hAnsi="Arial" w:eastAsia="Arial" w:cs="Arial"/>
      <w:b/>
      <w:bCs/>
      <w:sz w:val="22"/>
      <w:szCs w:val="22"/>
    </w:rPr>
  </w:style>
  <w:style w:type="character" w:styleId="755" w:customStyle="1">
    <w:name w:val="Heading 7 Char"/>
    <w:basedOn w:val="73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56" w:customStyle="1">
    <w:name w:val="Heading 8 Char"/>
    <w:basedOn w:val="738"/>
    <w:uiPriority w:val="9"/>
    <w:rPr>
      <w:rFonts w:ascii="Arial" w:hAnsi="Arial" w:eastAsia="Arial" w:cs="Arial"/>
      <w:i/>
      <w:iCs/>
      <w:sz w:val="22"/>
      <w:szCs w:val="22"/>
    </w:rPr>
  </w:style>
  <w:style w:type="character" w:styleId="757" w:customStyle="1">
    <w:name w:val="Heading 9 Char"/>
    <w:basedOn w:val="738"/>
    <w:uiPriority w:val="9"/>
    <w:rPr>
      <w:rFonts w:ascii="Arial" w:hAnsi="Arial" w:eastAsia="Arial" w:cs="Arial"/>
      <w:i/>
      <w:iCs/>
      <w:sz w:val="21"/>
      <w:szCs w:val="21"/>
    </w:rPr>
  </w:style>
  <w:style w:type="character" w:styleId="758" w:customStyle="1">
    <w:name w:val="Title Char"/>
    <w:basedOn w:val="738"/>
    <w:uiPriority w:val="10"/>
    <w:rPr>
      <w:sz w:val="48"/>
      <w:szCs w:val="48"/>
    </w:rPr>
  </w:style>
  <w:style w:type="character" w:styleId="759" w:customStyle="1">
    <w:name w:val="Subtitle Char"/>
    <w:basedOn w:val="738"/>
    <w:uiPriority w:val="11"/>
    <w:rPr>
      <w:sz w:val="24"/>
      <w:szCs w:val="24"/>
    </w:rPr>
  </w:style>
  <w:style w:type="character" w:styleId="760" w:customStyle="1">
    <w:name w:val="Quote Char"/>
    <w:uiPriority w:val="29"/>
    <w:rPr>
      <w:i/>
    </w:rPr>
  </w:style>
  <w:style w:type="character" w:styleId="761" w:customStyle="1">
    <w:name w:val="Intense Quote Char"/>
    <w:uiPriority w:val="30"/>
    <w:rPr>
      <w:i/>
    </w:rPr>
  </w:style>
  <w:style w:type="character" w:styleId="762" w:customStyle="1">
    <w:name w:val="Caption Char"/>
    <w:basedOn w:val="738"/>
    <w:uiPriority w:val="35"/>
    <w:rPr>
      <w:b/>
      <w:bCs/>
      <w:color w:val="4f81bd" w:themeColor="accent1"/>
      <w:sz w:val="18"/>
      <w:szCs w:val="18"/>
    </w:rPr>
  </w:style>
  <w:style w:type="character" w:styleId="763" w:customStyle="1">
    <w:name w:val="Heading 1 Char"/>
    <w:basedOn w:val="738"/>
    <w:uiPriority w:val="9"/>
    <w:rPr>
      <w:rFonts w:ascii="Arial" w:hAnsi="Arial" w:eastAsia="Arial" w:cs="Arial"/>
      <w:sz w:val="40"/>
      <w:szCs w:val="40"/>
    </w:rPr>
  </w:style>
  <w:style w:type="character" w:styleId="764" w:customStyle="1">
    <w:name w:val="Заголовок 2 Знак1"/>
    <w:basedOn w:val="738"/>
    <w:link w:val="742"/>
    <w:uiPriority w:val="9"/>
    <w:rPr>
      <w:rFonts w:ascii="Arial" w:hAnsi="Arial" w:eastAsia="Arial" w:cs="Arial"/>
      <w:sz w:val="34"/>
    </w:rPr>
  </w:style>
  <w:style w:type="character" w:styleId="765" w:customStyle="1">
    <w:name w:val="Заголовок 3 Знак1"/>
    <w:basedOn w:val="738"/>
    <w:link w:val="743"/>
    <w:uiPriority w:val="9"/>
    <w:rPr>
      <w:rFonts w:ascii="Arial" w:hAnsi="Arial" w:eastAsia="Arial" w:cs="Arial"/>
      <w:sz w:val="30"/>
      <w:szCs w:val="30"/>
    </w:rPr>
  </w:style>
  <w:style w:type="character" w:styleId="766" w:customStyle="1">
    <w:name w:val="Заголовок 4 Знак1"/>
    <w:basedOn w:val="738"/>
    <w:link w:val="744"/>
    <w:uiPriority w:val="9"/>
    <w:rPr>
      <w:rFonts w:ascii="Arial" w:hAnsi="Arial" w:eastAsia="Arial" w:cs="Arial"/>
      <w:b/>
      <w:bCs/>
      <w:sz w:val="26"/>
      <w:szCs w:val="26"/>
    </w:rPr>
  </w:style>
  <w:style w:type="character" w:styleId="767" w:customStyle="1">
    <w:name w:val="Заголовок 5 Знак"/>
    <w:basedOn w:val="738"/>
    <w:link w:val="745"/>
    <w:uiPriority w:val="9"/>
    <w:rPr>
      <w:rFonts w:ascii="Arial" w:hAnsi="Arial" w:eastAsia="Arial" w:cs="Arial"/>
      <w:b/>
      <w:bCs/>
      <w:sz w:val="24"/>
      <w:szCs w:val="24"/>
    </w:rPr>
  </w:style>
  <w:style w:type="character" w:styleId="768" w:customStyle="1">
    <w:name w:val="Заголовок 6 Знак"/>
    <w:basedOn w:val="738"/>
    <w:link w:val="746"/>
    <w:uiPriority w:val="9"/>
    <w:rPr>
      <w:rFonts w:ascii="Arial" w:hAnsi="Arial" w:eastAsia="Arial" w:cs="Arial"/>
      <w:b/>
      <w:bCs/>
      <w:sz w:val="22"/>
      <w:szCs w:val="22"/>
    </w:rPr>
  </w:style>
  <w:style w:type="character" w:styleId="769" w:customStyle="1">
    <w:name w:val="Заголовок 7 Знак"/>
    <w:basedOn w:val="738"/>
    <w:link w:val="74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70" w:customStyle="1">
    <w:name w:val="Заголовок 8 Знак"/>
    <w:basedOn w:val="738"/>
    <w:link w:val="748"/>
    <w:uiPriority w:val="9"/>
    <w:rPr>
      <w:rFonts w:ascii="Arial" w:hAnsi="Arial" w:eastAsia="Arial" w:cs="Arial"/>
      <w:i/>
      <w:iCs/>
      <w:sz w:val="22"/>
      <w:szCs w:val="22"/>
    </w:rPr>
  </w:style>
  <w:style w:type="character" w:styleId="771" w:customStyle="1">
    <w:name w:val="Заголовок 9 Знак"/>
    <w:basedOn w:val="738"/>
    <w:link w:val="749"/>
    <w:uiPriority w:val="9"/>
    <w:rPr>
      <w:rFonts w:ascii="Arial" w:hAnsi="Arial" w:eastAsia="Arial" w:cs="Arial"/>
      <w:i/>
      <w:iCs/>
      <w:sz w:val="21"/>
      <w:szCs w:val="21"/>
    </w:rPr>
  </w:style>
  <w:style w:type="paragraph" w:styleId="772">
    <w:name w:val="No Spacing"/>
    <w:uiPriority w:val="1"/>
    <w:qFormat/>
    <w:pPr>
      <w:spacing w:after="0" w:line="240" w:lineRule="auto"/>
    </w:pPr>
  </w:style>
  <w:style w:type="paragraph" w:styleId="773">
    <w:name w:val="Title"/>
    <w:basedOn w:val="737"/>
    <w:next w:val="737"/>
    <w:link w:val="774"/>
    <w:uiPriority w:val="10"/>
    <w:qFormat/>
    <w:pPr>
      <w:spacing w:before="300" w:after="200"/>
      <w:contextualSpacing/>
    </w:pPr>
    <w:rPr>
      <w:sz w:val="48"/>
      <w:szCs w:val="48"/>
    </w:rPr>
  </w:style>
  <w:style w:type="character" w:styleId="774" w:customStyle="1">
    <w:name w:val="Название Знак1"/>
    <w:basedOn w:val="738"/>
    <w:link w:val="773"/>
    <w:uiPriority w:val="10"/>
    <w:rPr>
      <w:sz w:val="48"/>
      <w:szCs w:val="48"/>
    </w:rPr>
  </w:style>
  <w:style w:type="paragraph" w:styleId="775">
    <w:name w:val="Subtitle"/>
    <w:basedOn w:val="737"/>
    <w:next w:val="737"/>
    <w:link w:val="776"/>
    <w:uiPriority w:val="11"/>
    <w:qFormat/>
    <w:pPr>
      <w:spacing w:before="200" w:after="200"/>
    </w:pPr>
  </w:style>
  <w:style w:type="character" w:styleId="776" w:customStyle="1">
    <w:name w:val="Подзаголовок Знак"/>
    <w:basedOn w:val="738"/>
    <w:link w:val="775"/>
    <w:uiPriority w:val="11"/>
    <w:rPr>
      <w:sz w:val="24"/>
      <w:szCs w:val="24"/>
    </w:rPr>
  </w:style>
  <w:style w:type="paragraph" w:styleId="777">
    <w:name w:val="Quote"/>
    <w:basedOn w:val="737"/>
    <w:next w:val="737"/>
    <w:link w:val="778"/>
    <w:uiPriority w:val="29"/>
    <w:qFormat/>
    <w:pPr>
      <w:ind w:left="720" w:right="720"/>
    </w:pPr>
    <w:rPr>
      <w:i/>
    </w:rPr>
  </w:style>
  <w:style w:type="character" w:styleId="778" w:customStyle="1">
    <w:name w:val="Цитата 2 Знак"/>
    <w:link w:val="777"/>
    <w:uiPriority w:val="29"/>
    <w:rPr>
      <w:i/>
    </w:rPr>
  </w:style>
  <w:style w:type="paragraph" w:styleId="779">
    <w:name w:val="Intense Quote"/>
    <w:basedOn w:val="737"/>
    <w:next w:val="737"/>
    <w:link w:val="780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</w:pPr>
    <w:rPr>
      <w:i/>
    </w:rPr>
  </w:style>
  <w:style w:type="character" w:styleId="780" w:customStyle="1">
    <w:name w:val="Выделенная цитата Знак"/>
    <w:link w:val="779"/>
    <w:uiPriority w:val="30"/>
    <w:rPr>
      <w:i/>
    </w:rPr>
  </w:style>
  <w:style w:type="character" w:styleId="781" w:customStyle="1">
    <w:name w:val="Header Char"/>
    <w:basedOn w:val="738"/>
    <w:uiPriority w:val="99"/>
  </w:style>
  <w:style w:type="character" w:styleId="782" w:customStyle="1">
    <w:name w:val="Footer Char"/>
    <w:basedOn w:val="738"/>
    <w:uiPriority w:val="99"/>
  </w:style>
  <w:style w:type="paragraph" w:styleId="783" w:customStyle="1">
    <w:name w:val="Caption"/>
    <w:basedOn w:val="737"/>
    <w:next w:val="737"/>
    <w:link w:val="784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84" w:customStyle="1">
    <w:name w:val="Название объекта Знак"/>
    <w:basedOn w:val="738"/>
    <w:link w:val="783"/>
    <w:uiPriority w:val="35"/>
    <w:rPr>
      <w:b/>
      <w:bCs/>
      <w:color w:val="4f81bd" w:themeColor="accent1"/>
      <w:sz w:val="18"/>
      <w:szCs w:val="18"/>
    </w:rPr>
  </w:style>
  <w:style w:type="table" w:styleId="785" w:customStyle="1">
    <w:name w:val="Table Grid Light"/>
    <w:basedOn w:val="739"/>
    <w:uiPriority w:val="59"/>
    <w:pPr>
      <w:spacing w:after="0" w:line="240" w:lineRule="auto"/>
    </w:pPr>
    <w:tblPr>
      <w:tblInd w:w="0" w:type="dxa"/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86" w:customStyle="1">
    <w:name w:val="Plain Table 1"/>
    <w:basedOn w:val="739"/>
    <w:uiPriority w:val="59"/>
    <w:pPr>
      <w:spacing w:after="0" w:line="240" w:lineRule="auto"/>
    </w:pPr>
    <w:tblPr>
      <w:tblInd w:w="0" w:type="dxa"/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2f2f2" w:themeColor="text1" w:themeTint="00" w:fill="f2f2f2" w:themeFill="text1" w:themeFillTint="00"/>
      </w:tcPr>
    </w:tblStylePr>
    <w:tblStylePr w:type="band1Vert">
      <w:tcPr>
        <w:shd w:val="clear" w:color="f2f2f2" w:themeColor="text1" w:themeTint="00" w:fill="f2f2f2" w:themeFill="text1" w:themeFillTint="0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87" w:customStyle="1">
    <w:name w:val="Plain Table 2"/>
    <w:basedOn w:val="73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88" w:customStyle="1">
    <w:name w:val="Plain Table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89" w:customStyle="1">
    <w:name w:val="Plain Table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0" w:customStyle="1">
    <w:name w:val="Plain Table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tcBorders>
          <w:right w:val="single" w:color="404040" w:sz="4" w:space="0"/>
        </w:tcBorders>
        <w:shd w:val="clear" w:color="ffffff" w:fill="auto"/>
      </w:tcPr>
    </w:tblStylePr>
    <w:tblStylePr w:type="firstRow">
      <w:rPr>
        <w:i/>
        <w:color w:val="404040"/>
      </w:rPr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791" w:customStyle="1">
    <w:name w:val="Grid Table 1 Light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2" w:customStyle="1">
    <w:name w:val="Grid Table 1 Light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7CBE4" w:themeColor="accent1" w:themeTint="67" w:sz="4" w:space="0"/>
        <w:left w:val="single" w:color="B7CBE4" w:themeColor="accent1" w:themeTint="67" w:sz="4" w:space="0"/>
        <w:bottom w:val="single" w:color="B7CBE4" w:themeColor="accent1" w:themeTint="67" w:sz="4" w:space="0"/>
        <w:right w:val="single" w:color="B7CBE4" w:themeColor="accent1" w:themeTint="67" w:sz="4" w:space="0"/>
        <w:insideH w:val="single" w:color="B7CBE4" w:themeColor="accent1" w:themeTint="67" w:sz="4" w:space="0"/>
        <w:insideV w:val="single" w:color="B7CBE4" w:themeColor="accen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7CBE4" w:themeColor="accent1" w:themeTint="67" w:sz="4" w:space="0"/>
          <w:left w:val="single" w:color="B7CBE4" w:themeColor="accent1" w:themeTint="67" w:sz="4" w:space="0"/>
          <w:bottom w:val="single" w:color="B7CBE4" w:themeColor="accent1" w:themeTint="67" w:sz="4" w:space="0"/>
          <w:right w:val="single" w:color="B7CBE4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7B4D8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3" w:customStyle="1">
    <w:name w:val="Grid Table 1 Light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E5B7B6" w:themeColor="accent2" w:themeTint="67" w:sz="4" w:space="0"/>
        <w:left w:val="single" w:color="E5B7B6" w:themeColor="accent2" w:themeTint="67" w:sz="4" w:space="0"/>
        <w:bottom w:val="single" w:color="E5B7B6" w:themeColor="accent2" w:themeTint="67" w:sz="4" w:space="0"/>
        <w:right w:val="single" w:color="E5B7B6" w:themeColor="accent2" w:themeTint="67" w:sz="4" w:space="0"/>
        <w:insideH w:val="single" w:color="E5B7B6" w:themeColor="accent2" w:themeTint="67" w:sz="4" w:space="0"/>
        <w:insideV w:val="single" w:color="E5B7B6" w:themeColor="accent2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E5B7B6" w:themeColor="accent2" w:themeTint="67" w:sz="4" w:space="0"/>
          <w:left w:val="single" w:color="E5B7B6" w:themeColor="accent2" w:themeTint="67" w:sz="4" w:space="0"/>
          <w:bottom w:val="single" w:color="E5B7B6" w:themeColor="accent2" w:themeTint="67" w:sz="4" w:space="0"/>
          <w:right w:val="single" w:color="E5B7B6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DA989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4" w:customStyle="1">
    <w:name w:val="Grid Table 1 Light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6E3BB" w:themeColor="accent3" w:themeTint="67" w:sz="4" w:space="0"/>
        <w:left w:val="single" w:color="D6E3BB" w:themeColor="accent3" w:themeTint="67" w:sz="4" w:space="0"/>
        <w:bottom w:val="single" w:color="D6E3BB" w:themeColor="accent3" w:themeTint="67" w:sz="4" w:space="0"/>
        <w:right w:val="single" w:color="D6E3BB" w:themeColor="accent3" w:themeTint="67" w:sz="4" w:space="0"/>
        <w:insideH w:val="single" w:color="D6E3BB" w:themeColor="accent3" w:themeTint="67" w:sz="4" w:space="0"/>
        <w:insideV w:val="single" w:color="D6E3BB" w:themeColor="accent3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6E3BB" w:themeColor="accent3" w:themeTint="67" w:sz="4" w:space="0"/>
          <w:left w:val="single" w:color="D6E3BB" w:themeColor="accent3" w:themeTint="67" w:sz="4" w:space="0"/>
          <w:bottom w:val="single" w:color="D6E3BB" w:themeColor="accent3" w:themeTint="67" w:sz="4" w:space="0"/>
          <w:right w:val="single" w:color="D6E3BB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4D79D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5" w:customStyle="1">
    <w:name w:val="Grid Table 1 Light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BC0D9" w:themeColor="accent4" w:themeTint="67" w:sz="4" w:space="0"/>
        <w:left w:val="single" w:color="CBC0D9" w:themeColor="accent4" w:themeTint="67" w:sz="4" w:space="0"/>
        <w:bottom w:val="single" w:color="CBC0D9" w:themeColor="accent4" w:themeTint="67" w:sz="4" w:space="0"/>
        <w:right w:val="single" w:color="CBC0D9" w:themeColor="accent4" w:themeTint="67" w:sz="4" w:space="0"/>
        <w:insideH w:val="single" w:color="CBC0D9" w:themeColor="accent4" w:themeTint="67" w:sz="4" w:space="0"/>
        <w:insideV w:val="single" w:color="CBC0D9" w:themeColor="accent4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CBC0D9" w:themeColor="accent4" w:themeTint="67" w:sz="4" w:space="0"/>
          <w:left w:val="single" w:color="CBC0D9" w:themeColor="accent4" w:themeTint="67" w:sz="4" w:space="0"/>
          <w:bottom w:val="single" w:color="CBC0D9" w:themeColor="accent4" w:themeTint="67" w:sz="4" w:space="0"/>
          <w:right w:val="single" w:color="CBC0D9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B4A4C8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6" w:customStyle="1">
    <w:name w:val="Grid Table 1 Light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6DDE8" w:themeColor="accent5" w:themeTint="67" w:sz="4" w:space="0"/>
        <w:left w:val="single" w:color="B6DDE8" w:themeColor="accent5" w:themeTint="67" w:sz="4" w:space="0"/>
        <w:bottom w:val="single" w:color="B6DDE8" w:themeColor="accent5" w:themeTint="67" w:sz="4" w:space="0"/>
        <w:right w:val="single" w:color="B6DDE8" w:themeColor="accent5" w:themeTint="67" w:sz="4" w:space="0"/>
        <w:insideH w:val="single" w:color="B6DDE8" w:themeColor="accent5" w:themeTint="67" w:sz="4" w:space="0"/>
        <w:insideV w:val="single" w:color="B6DDE8" w:themeColor="accent5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6DDE8" w:themeColor="accent5" w:themeTint="67" w:sz="4" w:space="0"/>
          <w:left w:val="single" w:color="B6DDE8" w:themeColor="accent5" w:themeTint="67" w:sz="4" w:space="0"/>
          <w:bottom w:val="single" w:color="B6DDE8" w:themeColor="accent5" w:themeTint="67" w:sz="4" w:space="0"/>
          <w:right w:val="single" w:color="B6DDE8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5CEDD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7" w:customStyle="1">
    <w:name w:val="Grid Table 1 Light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BD4B4" w:themeColor="accent6" w:themeTint="67" w:sz="4" w:space="0"/>
        <w:left w:val="single" w:color="FBD4B4" w:themeColor="accent6" w:themeTint="67" w:sz="4" w:space="0"/>
        <w:bottom w:val="single" w:color="FBD4B4" w:themeColor="accent6" w:themeTint="67" w:sz="4" w:space="0"/>
        <w:right w:val="single" w:color="FBD4B4" w:themeColor="accent6" w:themeTint="67" w:sz="4" w:space="0"/>
        <w:insideH w:val="single" w:color="FBD4B4" w:themeColor="accent6" w:themeTint="67" w:sz="4" w:space="0"/>
        <w:insideV w:val="single" w:color="FBD4B4" w:themeColor="accent6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BD4B4" w:themeColor="accent6" w:themeTint="67" w:sz="4" w:space="0"/>
          <w:left w:val="single" w:color="FBD4B4" w:themeColor="accent6" w:themeTint="67" w:sz="4" w:space="0"/>
          <w:bottom w:val="single" w:color="FBD4B4" w:themeColor="accent6" w:themeTint="67" w:sz="4" w:space="0"/>
          <w:right w:val="single" w:color="FBD4B4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AC192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8" w:customStyle="1">
    <w:name w:val="Grid Table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799" w:customStyle="1">
    <w:name w:val="Grid Table 2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5D8AC2" w:themeColor="accent1" w:themeTint="EA" w:sz="4" w:space="0"/>
        <w:insideH w:val="single" w:color="5D8AC2" w:themeColor="accent1" w:themeTint="EA" w:sz="4" w:space="0"/>
        <w:insideV w:val="single" w:color="5D8AC2" w:themeColor="accent1" w:themeTint="E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D8AC2" w:themeColor="accent1" w:themeTint="EA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D8AC2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0" w:customStyle="1">
    <w:name w:val="Grid Table 2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D99695" w:themeColor="accent2" w:themeTint="97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D99695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1" w:customStyle="1">
    <w:name w:val="Grid Table 2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9ABB59" w:themeColor="accent3" w:themeTint="FE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9ABB59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2" w:customStyle="1">
    <w:name w:val="Grid Table 2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B2A1C6" w:themeColor="accent4" w:themeTint="9A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B2A1C6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3" w:customStyle="1">
    <w:name w:val="Grid Table 2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BACC6" w:themeColor="accent5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BACC6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4" w:customStyle="1">
    <w:name w:val="Grid Table 2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79646" w:themeColor="accent6" w:sz="12" w:space="0"/>
          <w:right w:val="none" w:color="000000" w:sz="4" w:space="0"/>
        </w:tcBorders>
        <w:shd w:val="clear" w:color="ffffff" w:fill="auto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79646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5" w:customStyle="1">
    <w:name w:val="Grid Table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6" w:customStyle="1">
    <w:name w:val="Grid Table 3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5D8AC2" w:themeColor="accent1" w:themeTint="EA" w:sz="4" w:space="0"/>
        <w:insideH w:val="single" w:color="5D8AC2" w:themeColor="accent1" w:themeTint="EA" w:sz="4" w:space="0"/>
        <w:insideV w:val="single" w:color="5D8AC2" w:themeColor="accent1" w:themeTint="E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7" w:customStyle="1">
    <w:name w:val="Grid Table 3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8" w:customStyle="1">
    <w:name w:val="Grid Table 3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09" w:customStyle="1">
    <w:name w:val="Grid Table 3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10" w:customStyle="1">
    <w:name w:val="Grid Table 3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11" w:customStyle="1">
    <w:name w:val="Grid Table 3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</w:style>
  <w:style w:type="table" w:styleId="812" w:customStyle="1">
    <w:name w:val="Grid Table 4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13" w:customStyle="1">
    <w:name w:val="Grid Table 4 - Accent 1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BB7D9" w:themeColor="accent1" w:themeTint="90" w:sz="4" w:space="0"/>
        <w:left w:val="single" w:color="9BB7D9" w:themeColor="accent1" w:themeTint="90" w:sz="4" w:space="0"/>
        <w:bottom w:val="single" w:color="9BB7D9" w:themeColor="accent1" w:themeTint="90" w:sz="4" w:space="0"/>
        <w:right w:val="single" w:color="9BB7D9" w:themeColor="accent1" w:themeTint="90" w:sz="4" w:space="0"/>
        <w:insideH w:val="single" w:color="9BB7D9" w:themeColor="accent1" w:themeTint="90" w:sz="4" w:space="0"/>
        <w:insideV w:val="single" w:color="9BB7D9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ce6f2" w:themeColor="accent1" w:themeTint="32" w:fill="dce6f2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ce6f2" w:themeColor="accent1" w:themeTint="32" w:fill="dce6f2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5D8AC2" w:themeColor="accent1" w:themeTint="EA" w:sz="4" w:space="0"/>
          <w:left w:val="single" w:color="5D8AC2" w:themeColor="accent1" w:themeTint="EA" w:sz="4" w:space="0"/>
          <w:bottom w:val="single" w:color="5D8AC2" w:themeColor="accent1" w:themeTint="EA" w:sz="4" w:space="0"/>
          <w:right w:val="single" w:color="5D8AC2" w:themeColor="accent1" w:themeTint="EA" w:sz="4" w:space="0"/>
        </w:tcBorders>
        <w:shd w:val="clear" w:color="5d8ac2" w:themeColor="accent1" w:themeTint="EA" w:fill="5d8ac2" w:themeFill="accent1" w:themeFillTint="E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D8AC2" w:themeColor="accent1" w:themeTint="EA" w:sz="4" w:space="0"/>
        </w:tcBorders>
      </w:tcPr>
    </w:tblStylePr>
  </w:style>
  <w:style w:type="table" w:styleId="814" w:customStyle="1">
    <w:name w:val="Grid Table 4 - Accent 2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B9B9A" w:themeColor="accent2" w:themeTint="90" w:sz="4" w:space="0"/>
        <w:left w:val="single" w:color="DB9B9A" w:themeColor="accent2" w:themeTint="90" w:sz="4" w:space="0"/>
        <w:bottom w:val="single" w:color="DB9B9A" w:themeColor="accent2" w:themeTint="90" w:sz="4" w:space="0"/>
        <w:right w:val="single" w:color="DB9B9A" w:themeColor="accent2" w:themeTint="90" w:sz="4" w:space="0"/>
        <w:insideH w:val="single" w:color="DB9B9A" w:themeColor="accent2" w:themeTint="90" w:sz="4" w:space="0"/>
        <w:insideV w:val="single" w:color="DB9B9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D99695" w:themeColor="accent2" w:themeTint="97" w:sz="4" w:space="0"/>
          <w:left w:val="single" w:color="D99695" w:themeColor="accent2" w:themeTint="97" w:sz="4" w:space="0"/>
          <w:bottom w:val="single" w:color="D99695" w:themeColor="accent2" w:themeTint="97" w:sz="4" w:space="0"/>
          <w:right w:val="single" w:color="D99695" w:themeColor="accent2" w:themeTint="97" w:sz="4" w:space="0"/>
        </w:tcBorders>
        <w:shd w:val="clear" w:color="d99695" w:themeColor="accent2" w:themeTint="97" w:fill="d9969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D99695" w:themeColor="accent2" w:themeTint="97" w:sz="4" w:space="0"/>
        </w:tcBorders>
      </w:tcPr>
    </w:tblStylePr>
  </w:style>
  <w:style w:type="table" w:styleId="815" w:customStyle="1">
    <w:name w:val="Grid Table 4 - Accent 3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6D8A1" w:themeColor="accent3" w:themeTint="90" w:sz="4" w:space="0"/>
        <w:left w:val="single" w:color="C6D8A1" w:themeColor="accent3" w:themeTint="90" w:sz="4" w:space="0"/>
        <w:bottom w:val="single" w:color="C6D8A1" w:themeColor="accent3" w:themeTint="90" w:sz="4" w:space="0"/>
        <w:right w:val="single" w:color="C6D8A1" w:themeColor="accent3" w:themeTint="90" w:sz="4" w:space="0"/>
        <w:insideH w:val="single" w:color="C6D8A1" w:themeColor="accent3" w:themeTint="90" w:sz="4" w:space="0"/>
        <w:insideV w:val="single" w:color="C6D8A1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9ABB59" w:themeColor="accent3" w:themeTint="FE" w:sz="4" w:space="0"/>
          <w:left w:val="single" w:color="9ABB59" w:themeColor="accent3" w:themeTint="FE" w:sz="4" w:space="0"/>
          <w:bottom w:val="single" w:color="9ABB59" w:themeColor="accent3" w:themeTint="FE" w:sz="4" w:space="0"/>
          <w:right w:val="single" w:color="9ABB59" w:themeColor="accent3" w:themeTint="FE" w:sz="4" w:space="0"/>
        </w:tcBorders>
        <w:shd w:val="clear" w:color="9abb59" w:themeColor="accent3" w:themeTint="FE" w:fill="9abb59" w:themeFill="accent3" w:themeFillTint="FE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9ABB59" w:themeColor="accent3" w:themeTint="FE" w:sz="4" w:space="0"/>
        </w:tcBorders>
      </w:tcPr>
    </w:tblStylePr>
  </w:style>
  <w:style w:type="table" w:styleId="816" w:customStyle="1">
    <w:name w:val="Grid Table 4 - Accent 4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7A7CA" w:themeColor="accent4" w:themeTint="90" w:sz="4" w:space="0"/>
        <w:left w:val="single" w:color="B7A7CA" w:themeColor="accent4" w:themeTint="90" w:sz="4" w:space="0"/>
        <w:bottom w:val="single" w:color="B7A7CA" w:themeColor="accent4" w:themeTint="90" w:sz="4" w:space="0"/>
        <w:right w:val="single" w:color="B7A7CA" w:themeColor="accent4" w:themeTint="90" w:sz="4" w:space="0"/>
        <w:insideH w:val="single" w:color="B7A7CA" w:themeColor="accent4" w:themeTint="90" w:sz="4" w:space="0"/>
        <w:insideV w:val="single" w:color="B7A7CA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B2A1C6" w:themeColor="accent4" w:themeTint="9A" w:sz="4" w:space="0"/>
          <w:left w:val="single" w:color="B2A1C6" w:themeColor="accent4" w:themeTint="9A" w:sz="4" w:space="0"/>
          <w:bottom w:val="single" w:color="B2A1C6" w:themeColor="accent4" w:themeTint="9A" w:sz="4" w:space="0"/>
          <w:right w:val="single" w:color="B2A1C6" w:themeColor="accent4" w:themeTint="9A" w:sz="4" w:space="0"/>
        </w:tcBorders>
        <w:shd w:val="clear" w:color="b2a1c6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B2A1C6" w:themeColor="accent4" w:themeTint="9A" w:sz="4" w:space="0"/>
        </w:tcBorders>
      </w:tcPr>
    </w:tblStylePr>
  </w:style>
  <w:style w:type="table" w:styleId="817" w:customStyle="1">
    <w:name w:val="Grid Table 4 - Accent 5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9D0DE" w:themeColor="accent5" w:themeTint="90" w:sz="4" w:space="0"/>
        <w:left w:val="single" w:color="99D0DE" w:themeColor="accent5" w:themeTint="90" w:sz="4" w:space="0"/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  <w:insideV w:val="single" w:color="99D0DE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4BACC6" w:themeColor="accent5" w:sz="4" w:space="0"/>
          <w:left w:val="single" w:color="4BACC6" w:themeColor="accent5" w:sz="4" w:space="0"/>
          <w:bottom w:val="single" w:color="4BACC6" w:themeColor="accent5" w:sz="4" w:space="0"/>
          <w:right w:val="single" w:color="4BACC6" w:themeColor="accent5" w:sz="4" w:space="0"/>
        </w:tcBorders>
        <w:shd w:val="clear" w:color="4bacc6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BACC6" w:themeColor="accent5" w:sz="4" w:space="0"/>
        </w:tcBorders>
      </w:tcPr>
    </w:tblStylePr>
  </w:style>
  <w:style w:type="table" w:styleId="818" w:customStyle="1">
    <w:name w:val="Grid Table 4 - Accent 6"/>
    <w:basedOn w:val="73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AC396" w:themeColor="accent6" w:themeTint="90" w:sz="4" w:space="0"/>
        <w:left w:val="single" w:color="FAC396" w:themeColor="accent6" w:themeTint="90" w:sz="4" w:space="0"/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  <w:insideV w:val="single" w:color="FAC396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</w:tcBorders>
        <w:shd w:val="clear" w:color="f79646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79646" w:themeColor="accent6" w:sz="4" w:space="0"/>
        </w:tcBorders>
      </w:tcPr>
    </w:tblStylePr>
  </w:style>
  <w:style w:type="table" w:styleId="819" w:customStyle="1">
    <w:name w:val="Grid Table 5 Dark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</w:style>
  <w:style w:type="table" w:styleId="820" w:customStyle="1">
    <w:name w:val="Grid Table 5 Dark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ae5f1" w:themeColor="accent1" w:themeTint="34" w:fill="dae5f1" w:themeFill="accent1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ec4e0" w:themeColor="accent1" w:themeTint="75" w:fill="aec4e0" w:themeFill="accent1" w:themeFillTint="75"/>
      </w:tcPr>
    </w:tblStylePr>
    <w:tblStylePr w:type="band1Vert">
      <w:tcPr>
        <w:shd w:val="clear" w:color="aec4e0" w:themeColor="accent1" w:themeTint="75" w:fill="aec4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f81bd" w:themeColor="accent1" w:fill="4f81bd" w:themeFill="accent1"/>
      </w:tcPr>
    </w:tblStylePr>
  </w:style>
  <w:style w:type="table" w:styleId="821" w:customStyle="1">
    <w:name w:val="Grid Table 5 Dark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2dcdc" w:themeColor="accent2" w:themeTint="32" w:fill="f2dcdc" w:themeFill="accent2" w:themeFillTint="32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e2aead" w:themeColor="accent2" w:themeTint="75" w:fill="e2aead" w:themeFill="accent2" w:themeFillTint="75"/>
      </w:tcPr>
    </w:tblStylePr>
    <w:tblStylePr w:type="band1Vert">
      <w:tcPr>
        <w:shd w:val="clear" w:color="e2aead" w:themeColor="accent2" w:themeTint="75" w:fill="e2aead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c0504d" w:themeColor="accent2" w:fill="c0504d" w:themeFill="accent2"/>
      </w:tcPr>
    </w:tblStylePr>
  </w:style>
  <w:style w:type="table" w:styleId="822" w:customStyle="1">
    <w:name w:val="Grid Table 5 Dark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af1dc" w:themeColor="accent3" w:themeTint="34" w:fill="eaf1dc" w:themeFill="accent3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0dfb2" w:themeColor="accent3" w:themeTint="75" w:fill="d0dfb2" w:themeFill="accent3" w:themeFillTint="75"/>
      </w:tcPr>
    </w:tblStylePr>
    <w:tblStylePr w:type="band1Vert">
      <w:tcPr>
        <w:shd w:val="clear" w:color="d0dfb2" w:themeColor="accent3" w:themeTint="75" w:fill="d0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9bbb59" w:themeColor="accent3" w:fill="9bbb59" w:themeFill="accent3"/>
      </w:tcPr>
    </w:tblStylePr>
  </w:style>
  <w:style w:type="table" w:styleId="823" w:customStyle="1">
    <w:name w:val="Grid Table 5 Dark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5dfec" w:themeColor="accent4" w:themeTint="34" w:fill="e5dfec" w:themeFill="accent4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c4b7d4" w:themeColor="accent4" w:themeTint="75" w:fill="c4b7d4" w:themeFill="accent4" w:themeFillTint="75"/>
      </w:tcPr>
    </w:tblStylePr>
    <w:tblStylePr w:type="band1Vert">
      <w:tcPr>
        <w:shd w:val="clear" w:color="c4b7d4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8064a2" w:themeColor="accent4" w:fill="8064a2" w:themeFill="accent4"/>
      </w:tcPr>
    </w:tblStylePr>
  </w:style>
  <w:style w:type="table" w:styleId="824" w:customStyle="1">
    <w:name w:val="Grid Table 5 Dark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aeef3" w:themeColor="accent5" w:themeTint="34" w:fill="daeef3" w:themeFill="accent5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cd8e4" w:themeColor="accent5" w:themeTint="75" w:fill="acd8e4" w:themeFill="accent5" w:themeFillTint="75"/>
      </w:tcPr>
    </w:tblStylePr>
    <w:tblStylePr w:type="band1Vert">
      <w:tcPr>
        <w:shd w:val="clear" w:color="acd8e4" w:themeColor="accent5" w:themeTint="75" w:fill="acd8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bacc6" w:themeColor="accent5" w:fill="4bacc6" w:themeFill="accent5"/>
      </w:tcPr>
    </w:tblStylePr>
  </w:style>
  <w:style w:type="table" w:styleId="825" w:customStyle="1">
    <w:name w:val="Grid Table 5 Dark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de9d8" w:themeColor="accent6" w:themeTint="34" w:fill="fde9d8" w:themeFill="accent6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bceaa" w:themeColor="accent6" w:themeTint="75" w:fill="fbceaa" w:themeFill="accent6" w:themeFillTint="75"/>
      </w:tcPr>
    </w:tblStylePr>
    <w:tblStylePr w:type="band1Vert">
      <w:tcPr>
        <w:shd w:val="clear" w:color="fbceaa" w:themeColor="accent6" w:themeTint="75" w:fill="fbceaa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79646" w:themeColor="accent6" w:fill="f79646" w:themeFill="accent6"/>
      </w:tcPr>
    </w:tblStylePr>
  </w:style>
  <w:style w:type="table" w:styleId="826" w:customStyle="1">
    <w:name w:val="Grid Table 6 Colorful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827" w:customStyle="1">
    <w:name w:val="Grid Table 6 Colorful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6BFDD" w:themeColor="accent1" w:themeTint="80" w:sz="4" w:space="0"/>
        <w:left w:val="single" w:color="A6BFDD" w:themeColor="accent1" w:themeTint="80" w:sz="4" w:space="0"/>
        <w:bottom w:val="single" w:color="A6BFDD" w:themeColor="accent1" w:themeTint="80" w:sz="4" w:space="0"/>
        <w:right w:val="single" w:color="A6BFDD" w:themeColor="accent1" w:themeTint="80" w:sz="4" w:space="0"/>
        <w:insideH w:val="single" w:color="A6BFDD" w:themeColor="accent1" w:themeTint="80" w:sz="4" w:space="0"/>
        <w:insideV w:val="single" w:color="A6BFDD" w:themeColor="accen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6bfdd" w:themeColor="accent1" w:themeTint="80" w:themeShade="95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  <w:tblStylePr w:type="firstCol">
      <w:rPr>
        <w:b/>
        <w:color w:val="a6bfdd" w:themeColor="accent1" w:themeTint="80" w:themeShade="95"/>
      </w:rPr>
    </w:tblStylePr>
    <w:tblStylePr w:type="firstRow">
      <w:rPr>
        <w:b/>
        <w:color w:val="a6bfdd" w:themeColor="accent1" w:themeTint="80" w:themeShade="95"/>
      </w:rPr>
      <w:tcPr>
        <w:tcBorders>
          <w:bottom w:val="single" w:color="A6BFDD" w:themeColor="accent1" w:themeTint="80" w:sz="12" w:space="0"/>
        </w:tcBorders>
      </w:tcPr>
    </w:tblStylePr>
    <w:tblStylePr w:type="lastCol">
      <w:rPr>
        <w:b/>
        <w:color w:val="a6bfdd" w:themeColor="accent1" w:themeTint="80" w:themeShade="95"/>
      </w:rPr>
    </w:tblStylePr>
    <w:tblStylePr w:type="lastRow">
      <w:rPr>
        <w:b/>
        <w:color w:val="a6bfdd" w:themeColor="accent1" w:themeTint="80" w:themeShade="95"/>
      </w:rPr>
    </w:tblStylePr>
  </w:style>
  <w:style w:type="table" w:styleId="828" w:customStyle="1">
    <w:name w:val="Grid Table 6 Colorful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99695" w:themeColor="accent2" w:themeTint="97" w:sz="4" w:space="0"/>
        <w:left w:val="single" w:color="D99695" w:themeColor="accent2" w:themeTint="97" w:sz="4" w:space="0"/>
        <w:bottom w:val="single" w:color="D99695" w:themeColor="accent2" w:themeTint="97" w:sz="4" w:space="0"/>
        <w:right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b/>
        <w:color w:val="d99695" w:themeColor="accent2" w:themeTint="97" w:themeShade="95"/>
      </w:rPr>
    </w:tblStylePr>
    <w:tblStylePr w:type="firstRow">
      <w:rPr>
        <w:b/>
        <w:color w:val="d99695" w:themeColor="accent2" w:themeTint="97" w:themeShade="95"/>
      </w:rPr>
      <w:tcPr>
        <w:tcBorders>
          <w:bottom w:val="single" w:color="D99695" w:themeColor="accent2" w:themeTint="97" w:sz="12" w:space="0"/>
        </w:tcBorders>
      </w:tcPr>
    </w:tblStylePr>
    <w:tblStylePr w:type="lastCol">
      <w:rPr>
        <w:b/>
        <w:color w:val="d99695" w:themeColor="accent2" w:themeTint="97" w:themeShade="95"/>
      </w:rPr>
    </w:tblStylePr>
    <w:tblStylePr w:type="lastRow">
      <w:rPr>
        <w:b/>
        <w:color w:val="d99695" w:themeColor="accent2" w:themeTint="97" w:themeShade="95"/>
      </w:rPr>
    </w:tblStylePr>
  </w:style>
  <w:style w:type="table" w:styleId="829" w:customStyle="1">
    <w:name w:val="Grid Table 6 Colorful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ABB59" w:themeColor="accent3" w:themeTint="FE" w:sz="4" w:space="0"/>
        <w:left w:val="single" w:color="9ABB59" w:themeColor="accent3" w:themeTint="FE" w:sz="4" w:space="0"/>
        <w:bottom w:val="single" w:color="9ABB59" w:themeColor="accent3" w:themeTint="FE" w:sz="4" w:space="0"/>
        <w:right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9abb59" w:themeColor="accent3" w:themeTint="FE" w:themeShade="95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  <w:tblStylePr w:type="firstCol">
      <w:rPr>
        <w:b/>
        <w:color w:val="9abb59" w:themeColor="accent3" w:themeTint="FE" w:themeShade="95"/>
      </w:rPr>
    </w:tblStylePr>
    <w:tblStylePr w:type="firstRow">
      <w:rPr>
        <w:b/>
        <w:color w:val="9abb59" w:themeColor="accent3" w:themeTint="FE" w:themeShade="95"/>
      </w:rPr>
      <w:tcPr>
        <w:tcBorders>
          <w:bottom w:val="single" w:color="9ABB59" w:themeColor="accent3" w:themeTint="FE" w:sz="12" w:space="0"/>
        </w:tcBorders>
      </w:tcPr>
    </w:tblStylePr>
    <w:tblStylePr w:type="lastCol">
      <w:rPr>
        <w:b/>
        <w:color w:val="9abb59" w:themeColor="accent3" w:themeTint="FE" w:themeShade="95"/>
      </w:rPr>
    </w:tblStylePr>
    <w:tblStylePr w:type="lastRow">
      <w:rPr>
        <w:b/>
        <w:color w:val="9abb59" w:themeColor="accent3" w:themeTint="FE" w:themeShade="95"/>
      </w:rPr>
    </w:tblStylePr>
  </w:style>
  <w:style w:type="table" w:styleId="830" w:customStyle="1">
    <w:name w:val="Grid Table 6 Colorful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2A1C6" w:themeColor="accent4" w:themeTint="9A" w:sz="4" w:space="0"/>
        <w:left w:val="single" w:color="B2A1C6" w:themeColor="accent4" w:themeTint="9A" w:sz="4" w:space="0"/>
        <w:bottom w:val="single" w:color="B2A1C6" w:themeColor="accent4" w:themeTint="9A" w:sz="4" w:space="0"/>
        <w:right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b/>
        <w:color w:val="b2a1c6" w:themeColor="accent4" w:themeTint="9A" w:themeShade="95"/>
      </w:rPr>
    </w:tblStylePr>
    <w:tblStylePr w:type="firstRow">
      <w:rPr>
        <w:b/>
        <w:color w:val="b2a1c6" w:themeColor="accent4" w:themeTint="9A" w:themeShade="95"/>
      </w:rPr>
      <w:tcPr>
        <w:tcBorders>
          <w:bottom w:val="single" w:color="B2A1C6" w:themeColor="accent4" w:themeTint="9A" w:sz="12" w:space="0"/>
        </w:tcBorders>
      </w:tcPr>
    </w:tblStylePr>
    <w:tblStylePr w:type="lastCol">
      <w:rPr>
        <w:b/>
        <w:color w:val="b2a1c6" w:themeColor="accent4" w:themeTint="9A" w:themeShade="95"/>
      </w:rPr>
    </w:tblStylePr>
    <w:tblStylePr w:type="lastRow">
      <w:rPr>
        <w:b/>
        <w:color w:val="b2a1c6" w:themeColor="accent4" w:themeTint="9A" w:themeShade="95"/>
      </w:rPr>
    </w:tblStylePr>
  </w:style>
  <w:style w:type="table" w:styleId="831" w:customStyle="1">
    <w:name w:val="Grid Table 6 Colorful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BACC6" w:themeColor="accent5" w:sz="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66779" w:themeColor="accent5" w:themeShade="95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  <w:tblStylePr w:type="firstCol">
      <w:rPr>
        <w:b/>
        <w:color w:val="266779" w:themeColor="accent5" w:themeShade="95"/>
      </w:rPr>
    </w:tblStylePr>
    <w:tblStylePr w:type="firstRow">
      <w:rPr>
        <w:b/>
        <w:color w:val="266779" w:themeColor="accent5" w:themeShade="95"/>
      </w:rPr>
      <w:tcPr>
        <w:tcBorders>
          <w:bottom w:val="single" w:color="4BACC6" w:themeColor="accent5" w:sz="12" w:space="0"/>
        </w:tcBorders>
      </w:tcPr>
    </w:tblStylePr>
    <w:tblStylePr w:type="lastCol">
      <w:rPr>
        <w:b/>
        <w:color w:val="266779" w:themeColor="accent5" w:themeShade="95"/>
      </w:rPr>
    </w:tblStylePr>
    <w:tblStylePr w:type="lastRow">
      <w:rPr>
        <w:b/>
        <w:color w:val="266779" w:themeColor="accent5" w:themeShade="95"/>
      </w:rPr>
    </w:tblStylePr>
  </w:style>
  <w:style w:type="table" w:styleId="832" w:customStyle="1">
    <w:name w:val="Grid Table 6 Colorful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79646" w:themeColor="accent6" w:sz="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66779" w:themeColor="accent5" w:themeShade="95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  <w:tblStylePr w:type="firstCol">
      <w:rPr>
        <w:b/>
        <w:color w:val="266779" w:themeColor="accent5" w:themeShade="95"/>
      </w:rPr>
    </w:tblStylePr>
    <w:tblStylePr w:type="firstRow">
      <w:rPr>
        <w:b/>
        <w:color w:val="266779" w:themeColor="accent5" w:themeShade="95"/>
      </w:rPr>
      <w:tcPr>
        <w:tcBorders>
          <w:bottom w:val="single" w:color="F79646" w:themeColor="accent6" w:sz="12" w:space="0"/>
        </w:tcBorders>
      </w:tcPr>
    </w:tblStylePr>
    <w:tblStylePr w:type="lastCol">
      <w:rPr>
        <w:b/>
        <w:color w:val="266779" w:themeColor="accent5" w:themeShade="95"/>
      </w:rPr>
    </w:tblStylePr>
    <w:tblStylePr w:type="lastRow">
      <w:rPr>
        <w:b/>
        <w:color w:val="266779" w:themeColor="accent5" w:themeShade="95"/>
      </w:rPr>
    </w:tblStylePr>
  </w:style>
  <w:style w:type="table" w:styleId="833" w:customStyle="1">
    <w:name w:val="Grid Table 7 Colorful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2f2f2" w:themeColor="text1" w:themeTint="00" w:fill="f2f2f2" w:themeFill="text1" w:themeFillTint="00"/>
      </w:tcPr>
    </w:tblStylePr>
    <w:tblStylePr w:type="band1Vert">
      <w:tcPr>
        <w:shd w:val="clear" w:color="f2f2f2" w:themeColor="text1" w:themeTint="00" w:fill="f2f2f2" w:themeFill="text1" w:themeFillTint="0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34" w:customStyle="1">
    <w:name w:val="Grid Table 7 Colorful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A6BFDD" w:themeColor="accent1" w:themeTint="80" w:sz="4" w:space="0"/>
        <w:right w:val="single" w:color="A6BFDD" w:themeColor="accent1" w:themeTint="80" w:sz="4" w:space="0"/>
        <w:insideH w:val="single" w:color="A6BFDD" w:themeColor="accent1" w:themeTint="80" w:sz="4" w:space="0"/>
        <w:insideV w:val="single" w:color="A6BFDD" w:themeColor="accen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6bfdd" w:themeColor="accent1" w:themeTint="80" w:themeShade="95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  <w:tblStylePr w:type="firstCol">
      <w:rPr>
        <w:rFonts w:ascii="Arial" w:hAnsi="Arial"/>
        <w:i/>
        <w:color w:val="a6bfdd" w:themeColor="accen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6BFDD" w:themeColor="accent1" w:themeTint="80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a6bfdd" w:themeColor="accen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A6BFDD" w:themeColor="accen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cPr>
        <w:tcBorders>
          <w:top w:val="none" w:color="000000" w:sz="4" w:space="0"/>
          <w:left w:val="single" w:color="A6BFDD" w:themeColor="accent1" w:themeTint="8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cPr>
        <w:tcBorders>
          <w:top w:val="single" w:color="A6BFDD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35" w:customStyle="1">
    <w:name w:val="Grid Table 7 Colorful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D99695" w:themeColor="accent2" w:themeTint="97" w:sz="4" w:space="0"/>
        <w:right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rFonts w:ascii="Arial" w:hAnsi="Arial"/>
        <w:i/>
        <w:color w:val="d99695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D99695" w:themeColor="accent2" w:themeTint="97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d99695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D99695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cPr>
        <w:tcBorders>
          <w:top w:val="none" w:color="000000" w:sz="4" w:space="0"/>
          <w:left w:val="single" w:color="D99695" w:themeColor="accent2" w:themeTint="97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cPr>
        <w:tcBorders>
          <w:top w:val="single" w:color="D99695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36" w:customStyle="1">
    <w:name w:val="Grid Table 7 Colorful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9ABB59" w:themeColor="accent3" w:themeTint="FE" w:sz="4" w:space="0"/>
        <w:right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9abb59" w:themeColor="accent3" w:themeTint="FE" w:themeShade="95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  <w:tblStylePr w:type="firstCol">
      <w:rPr>
        <w:rFonts w:ascii="Arial" w:hAnsi="Arial"/>
        <w:i/>
        <w:color w:val="9abb59" w:themeColor="accent3" w:themeTint="FE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ABB59" w:themeColor="accent3" w:themeTint="FE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9abb59" w:themeColor="accent3" w:themeTint="FE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9ABB59" w:themeColor="accent3" w:themeTint="FE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cPr>
        <w:tcBorders>
          <w:top w:val="none" w:color="000000" w:sz="4" w:space="0"/>
          <w:left w:val="single" w:color="9ABB59" w:themeColor="accent3" w:themeTint="FE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cPr>
        <w:tcBorders>
          <w:top w:val="single" w:color="9ABB59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37" w:customStyle="1">
    <w:name w:val="Grid Table 7 Colorful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B2A1C6" w:themeColor="accent4" w:themeTint="9A" w:sz="4" w:space="0"/>
        <w:right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rFonts w:ascii="Arial" w:hAnsi="Arial"/>
        <w:i/>
        <w:color w:val="b2a1c6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B2A1C6" w:themeColor="accent4" w:themeTint="9A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b2a1c6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B2A1C6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cPr>
        <w:tcBorders>
          <w:top w:val="none" w:color="000000" w:sz="4" w:space="0"/>
          <w:left w:val="single" w:color="B2A1C6" w:themeColor="accent4" w:themeTint="9A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cPr>
        <w:tcBorders>
          <w:top w:val="single" w:color="B2A1C6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38" w:customStyle="1">
    <w:name w:val="Grid Table 7 Colorful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  <w:insideV w:val="single" w:color="99D0DE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66779" w:themeColor="accent5" w:themeShade="95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  <w:tblStylePr w:type="firstCol">
      <w:rPr>
        <w:rFonts w:ascii="Arial" w:hAnsi="Arial"/>
        <w:i/>
        <w:color w:val="266779" w:themeColor="accent5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9D0DE" w:themeColor="accent5" w:themeTint="90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266779" w:themeColor="accent5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99D0DE" w:themeColor="accent5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cPr>
        <w:tcBorders>
          <w:top w:val="none" w:color="000000" w:sz="4" w:space="0"/>
          <w:left w:val="single" w:color="99D0DE" w:themeColor="accent5" w:themeTint="9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cPr>
        <w:tcBorders>
          <w:top w:val="single" w:color="99D0DE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39" w:customStyle="1">
    <w:name w:val="Grid Table 7 Colorful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  <w:insideV w:val="single" w:color="FAC396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b15407" w:themeColor="accent6" w:themeShade="95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  <w:tblStylePr w:type="firstCol">
      <w:rPr>
        <w:rFonts w:ascii="Arial" w:hAnsi="Arial"/>
        <w:i/>
        <w:color w:val="b15407" w:themeColor="accent6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AC396" w:themeColor="accent6" w:themeTint="90" w:sz="4" w:space="0"/>
        </w:tcBorders>
        <w:shd w:val="clear" w:color="ffffff" w:fill="auto"/>
      </w:tcPr>
    </w:tblStylePr>
    <w:tblStylePr w:type="firstRow">
      <w:rPr>
        <w:rFonts w:ascii="Arial" w:hAnsi="Arial"/>
        <w:b/>
        <w:color w:val="b15407" w:themeColor="accent6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FAC396" w:themeColor="accent6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cPr>
        <w:tcBorders>
          <w:top w:val="none" w:color="000000" w:sz="4" w:space="0"/>
          <w:left w:val="single" w:color="FAC396" w:themeColor="accent6" w:themeTint="9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cPr>
        <w:tcBorders>
          <w:top w:val="single" w:color="FAC396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40" w:customStyle="1">
    <w:name w:val="List Table 1 Light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1" w:customStyle="1">
    <w:name w:val="List Table 1 Light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2dfee" w:themeColor="accent1" w:themeTint="40" w:fill="d2dfee" w:themeFill="accent1" w:themeFillTint="40"/>
      </w:tcPr>
    </w:tblStylePr>
    <w:tblStylePr w:type="band1Vert">
      <w:tcPr>
        <w:shd w:val="clear" w:color="d2dfee" w:themeColor="accent1" w:themeTint="40" w:fill="d2df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F81BD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F81BD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2" w:customStyle="1">
    <w:name w:val="List Table 1 Light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efd2d2" w:themeColor="accent2" w:themeTint="40" w:fill="efd2d2" w:themeFill="accent2" w:themeFillTint="40"/>
      </w:tcPr>
    </w:tblStylePr>
    <w:tblStylePr w:type="band1Vert">
      <w:tcPr>
        <w:shd w:val="clear" w:color="efd2d2" w:themeColor="accent2" w:themeTint="40" w:fill="efd2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C0504D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C0504D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3" w:customStyle="1">
    <w:name w:val="List Table 1 Light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e5eed5" w:themeColor="accent3" w:themeTint="40" w:fill="e5eed5" w:themeFill="accent3" w:themeFillTint="40"/>
      </w:tcPr>
    </w:tblStylePr>
    <w:tblStylePr w:type="band1Vert">
      <w:tcPr>
        <w:shd w:val="clear" w:color="e5eed5" w:themeColor="accent3" w:themeTint="40" w:fill="e5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9BBB59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9BBB59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4" w:customStyle="1">
    <w:name w:val="List Table 1 Light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fd8e7" w:themeColor="accent4" w:themeTint="40" w:fill="dfd8e7" w:themeFill="accent4" w:themeFillTint="40"/>
      </w:tcPr>
    </w:tblStylePr>
    <w:tblStylePr w:type="band1Vert">
      <w:tcPr>
        <w:shd w:val="clear" w:color="dfd8e7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8064A2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8064A2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5" w:customStyle="1">
    <w:name w:val="List Table 1 Light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1eaf0" w:themeColor="accent5" w:themeTint="40" w:fill="d1eaf0" w:themeFill="accent5" w:themeFillTint="40"/>
      </w:tcPr>
    </w:tblStylePr>
    <w:tblStylePr w:type="band1Vert">
      <w:tcPr>
        <w:shd w:val="clear" w:color="d1eaf0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BACC6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BACC6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6" w:customStyle="1">
    <w:name w:val="List Table 1 Light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de4d0" w:themeColor="accent6" w:themeTint="40" w:fill="fde4d0" w:themeFill="accent6" w:themeFillTint="40"/>
      </w:tcPr>
    </w:tblStylePr>
    <w:tblStylePr w:type="band1Vert">
      <w:tcPr>
        <w:shd w:val="clear" w:color="fde4d0" w:themeColor="accent6" w:themeTint="40" w:fill="fde4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79646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79646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7" w:customStyle="1">
    <w:name w:val="List Table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848" w:customStyle="1">
    <w:name w:val="List Table 2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BB7D9" w:themeColor="accent1" w:themeTint="90" w:sz="4" w:space="0"/>
        <w:bottom w:val="single" w:color="9BB7D9" w:themeColor="accent1" w:themeTint="90" w:sz="4" w:space="0"/>
        <w:insideH w:val="single" w:color="9BB7D9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BB7D9" w:themeColor="accent1" w:themeTint="90" w:sz="4" w:space="0"/>
          <w:left w:val="none" w:color="000000" w:sz="4" w:space="0"/>
          <w:bottom w:val="single" w:color="9BB7D9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BB7D9" w:themeColor="accent1" w:themeTint="90" w:sz="4" w:space="0"/>
          <w:left w:val="none" w:color="000000" w:sz="4" w:space="0"/>
          <w:bottom w:val="single" w:color="9BB7D9" w:themeColor="accent1" w:themeTint="90" w:sz="4" w:space="0"/>
          <w:right w:val="none" w:color="000000" w:sz="4" w:space="0"/>
        </w:tcBorders>
      </w:tcPr>
    </w:tblStylePr>
  </w:style>
  <w:style w:type="table" w:styleId="849" w:customStyle="1">
    <w:name w:val="List Table 2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B9B9A" w:themeColor="accent2" w:themeTint="90" w:sz="4" w:space="0"/>
        <w:bottom w:val="single" w:color="DB9B9A" w:themeColor="accent2" w:themeTint="90" w:sz="4" w:space="0"/>
        <w:insideH w:val="single" w:color="DB9B9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DB9B9A" w:themeColor="accent2" w:themeTint="90" w:sz="4" w:space="0"/>
          <w:left w:val="none" w:color="000000" w:sz="4" w:space="0"/>
          <w:bottom w:val="single" w:color="DB9B9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DB9B9A" w:themeColor="accent2" w:themeTint="90" w:sz="4" w:space="0"/>
          <w:left w:val="none" w:color="000000" w:sz="4" w:space="0"/>
          <w:bottom w:val="single" w:color="DB9B9A" w:themeColor="accent2" w:themeTint="90" w:sz="4" w:space="0"/>
          <w:right w:val="none" w:color="000000" w:sz="4" w:space="0"/>
        </w:tcBorders>
      </w:tcPr>
    </w:tblStylePr>
  </w:style>
  <w:style w:type="table" w:styleId="850" w:customStyle="1">
    <w:name w:val="List Table 2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6D8A1" w:themeColor="accent3" w:themeTint="90" w:sz="4" w:space="0"/>
        <w:bottom w:val="single" w:color="C6D8A1" w:themeColor="accent3" w:themeTint="90" w:sz="4" w:space="0"/>
        <w:insideH w:val="single" w:color="C6D8A1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6D8A1" w:themeColor="accent3" w:themeTint="90" w:sz="4" w:space="0"/>
          <w:left w:val="none" w:color="000000" w:sz="4" w:space="0"/>
          <w:bottom w:val="single" w:color="C6D8A1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6D8A1" w:themeColor="accent3" w:themeTint="90" w:sz="4" w:space="0"/>
          <w:left w:val="none" w:color="000000" w:sz="4" w:space="0"/>
          <w:bottom w:val="single" w:color="C6D8A1" w:themeColor="accent3" w:themeTint="90" w:sz="4" w:space="0"/>
          <w:right w:val="none" w:color="000000" w:sz="4" w:space="0"/>
        </w:tcBorders>
      </w:tcPr>
    </w:tblStylePr>
  </w:style>
  <w:style w:type="table" w:styleId="851" w:customStyle="1">
    <w:name w:val="List Table 2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7A7CA" w:themeColor="accent4" w:themeTint="90" w:sz="4" w:space="0"/>
        <w:bottom w:val="single" w:color="B7A7CA" w:themeColor="accent4" w:themeTint="90" w:sz="4" w:space="0"/>
        <w:insideH w:val="single" w:color="B7A7CA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B7A7CA" w:themeColor="accent4" w:themeTint="90" w:sz="4" w:space="0"/>
          <w:left w:val="none" w:color="000000" w:sz="4" w:space="0"/>
          <w:bottom w:val="single" w:color="B7A7CA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B7A7CA" w:themeColor="accent4" w:themeTint="90" w:sz="4" w:space="0"/>
          <w:left w:val="none" w:color="000000" w:sz="4" w:space="0"/>
          <w:bottom w:val="single" w:color="B7A7CA" w:themeColor="accent4" w:themeTint="90" w:sz="4" w:space="0"/>
          <w:right w:val="none" w:color="000000" w:sz="4" w:space="0"/>
        </w:tcBorders>
      </w:tcPr>
    </w:tblStylePr>
  </w:style>
  <w:style w:type="table" w:styleId="852" w:customStyle="1">
    <w:name w:val="List Table 2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9D0DE" w:themeColor="accent5" w:themeTint="90" w:sz="4" w:space="0"/>
        <w:bottom w:val="single" w:color="99D0DE" w:themeColor="accent5" w:themeTint="90" w:sz="4" w:space="0"/>
        <w:insideH w:val="single" w:color="99D0DE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9D0DE" w:themeColor="accent5" w:themeTint="90" w:sz="4" w:space="0"/>
          <w:left w:val="none" w:color="000000" w:sz="4" w:space="0"/>
          <w:bottom w:val="single" w:color="99D0DE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9D0DE" w:themeColor="accent5" w:themeTint="90" w:sz="4" w:space="0"/>
          <w:left w:val="none" w:color="000000" w:sz="4" w:space="0"/>
          <w:bottom w:val="single" w:color="99D0DE" w:themeColor="accent5" w:themeTint="90" w:sz="4" w:space="0"/>
          <w:right w:val="none" w:color="000000" w:sz="4" w:space="0"/>
        </w:tcBorders>
      </w:tcPr>
    </w:tblStylePr>
  </w:style>
  <w:style w:type="table" w:styleId="853" w:customStyle="1">
    <w:name w:val="List Table 2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AC396" w:themeColor="accent6" w:themeTint="90" w:sz="4" w:space="0"/>
        <w:bottom w:val="single" w:color="FAC396" w:themeColor="accent6" w:themeTint="90" w:sz="4" w:space="0"/>
        <w:insideH w:val="single" w:color="FAC396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AC396" w:themeColor="accent6" w:themeTint="90" w:sz="4" w:space="0"/>
          <w:left w:val="none" w:color="000000" w:sz="4" w:space="0"/>
          <w:bottom w:val="single" w:color="FAC396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AC396" w:themeColor="accent6" w:themeTint="90" w:sz="4" w:space="0"/>
          <w:left w:val="none" w:color="000000" w:sz="4" w:space="0"/>
          <w:bottom w:val="single" w:color="FAC396" w:themeColor="accent6" w:themeTint="90" w:sz="4" w:space="0"/>
          <w:right w:val="none" w:color="000000" w:sz="4" w:space="0"/>
        </w:tcBorders>
      </w:tcPr>
    </w:tblStylePr>
  </w:style>
  <w:style w:type="table" w:styleId="854" w:customStyle="1">
    <w:name w:val="List Table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5" w:customStyle="1">
    <w:name w:val="List Table 3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F81BD" w:themeColor="accent1" w:sz="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4F81BD" w:themeColor="accent1" w:sz="4" w:space="0"/>
          <w:bottom w:val="single" w:color="4F81BD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F81BD" w:themeColor="accent1" w:sz="4" w:space="0"/>
          <w:right w:val="single" w:color="4F81BD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6" w:customStyle="1">
    <w:name w:val="List Table 3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99695" w:themeColor="accent2" w:themeTint="97" w:sz="4" w:space="0"/>
        <w:left w:val="single" w:color="D99695" w:themeColor="accent2" w:themeTint="97" w:sz="4" w:space="0"/>
        <w:bottom w:val="single" w:color="D99695" w:themeColor="accent2" w:themeTint="97" w:sz="4" w:space="0"/>
        <w:right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99695" w:themeColor="accent2" w:themeTint="97" w:sz="4" w:space="0"/>
          <w:bottom w:val="single" w:color="D99695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D99695" w:themeColor="accent2" w:themeTint="97" w:sz="4" w:space="0"/>
          <w:right w:val="single" w:color="D9969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d99695" w:themeColor="accent2" w:themeTint="97" w:fill="d9969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7" w:customStyle="1">
    <w:name w:val="List Table 3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3D69B" w:themeColor="accent3" w:themeTint="98" w:sz="4" w:space="0"/>
        <w:left w:val="single" w:color="C3D69B" w:themeColor="accent3" w:themeTint="98" w:sz="4" w:space="0"/>
        <w:bottom w:val="single" w:color="C3D69B" w:themeColor="accent3" w:themeTint="98" w:sz="4" w:space="0"/>
        <w:right w:val="single" w:color="C3D69B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C3D69B" w:themeColor="accent3" w:themeTint="98" w:sz="4" w:space="0"/>
          <w:bottom w:val="single" w:color="C3D69B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3D69B" w:themeColor="accent3" w:themeTint="98" w:sz="4" w:space="0"/>
          <w:right w:val="single" w:color="C3D69B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3d69b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8" w:customStyle="1">
    <w:name w:val="List Table 3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2A1C6" w:themeColor="accent4" w:themeTint="9A" w:sz="4" w:space="0"/>
        <w:left w:val="single" w:color="B2A1C6" w:themeColor="accent4" w:themeTint="9A" w:sz="4" w:space="0"/>
        <w:bottom w:val="single" w:color="B2A1C6" w:themeColor="accent4" w:themeTint="9A" w:sz="4" w:space="0"/>
        <w:right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2A1C6" w:themeColor="accent4" w:themeTint="9A" w:sz="4" w:space="0"/>
          <w:bottom w:val="single" w:color="B2A1C6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B2A1C6" w:themeColor="accent4" w:themeTint="9A" w:sz="4" w:space="0"/>
          <w:right w:val="single" w:color="B2A1C6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b2a1c6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9" w:customStyle="1">
    <w:name w:val="List Table 3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2CCDC" w:themeColor="accent5" w:themeTint="9A" w:sz="4" w:space="0"/>
        <w:left w:val="single" w:color="92CCDC" w:themeColor="accent5" w:themeTint="9A" w:sz="4" w:space="0"/>
        <w:bottom w:val="single" w:color="92CCDC" w:themeColor="accent5" w:themeTint="9A" w:sz="4" w:space="0"/>
        <w:right w:val="single" w:color="92CCDC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92CCDC" w:themeColor="accent5" w:themeTint="9A" w:sz="4" w:space="0"/>
          <w:bottom w:val="single" w:color="92CCDC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2CCDC" w:themeColor="accent5" w:themeTint="9A" w:sz="4" w:space="0"/>
          <w:right w:val="single" w:color="92CCDC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2ccdc" w:themeColor="accent5" w:themeTint="9A" w:fill="92cc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0" w:customStyle="1">
    <w:name w:val="List Table 3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AC090" w:themeColor="accent6" w:themeTint="98" w:sz="4" w:space="0"/>
        <w:left w:val="single" w:color="FAC090" w:themeColor="accent6" w:themeTint="98" w:sz="4" w:space="0"/>
        <w:bottom w:val="single" w:color="FAC090" w:themeColor="accent6" w:themeTint="98" w:sz="4" w:space="0"/>
        <w:right w:val="single" w:color="FAC090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AC090" w:themeColor="accent6" w:themeTint="98" w:sz="4" w:space="0"/>
          <w:bottom w:val="single" w:color="FAC09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AC090" w:themeColor="accent6" w:themeTint="98" w:sz="4" w:space="0"/>
          <w:right w:val="single" w:color="FAC09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ac090" w:themeColor="accent6" w:themeTint="98" w:fill="fac0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1" w:customStyle="1">
    <w:name w:val="List Table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2" w:customStyle="1">
    <w:name w:val="List Table 4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BB7D9" w:themeColor="accent1" w:themeTint="90" w:sz="4" w:space="0"/>
        <w:left w:val="single" w:color="9BB7D9" w:themeColor="accent1" w:themeTint="90" w:sz="4" w:space="0"/>
        <w:bottom w:val="single" w:color="9BB7D9" w:themeColor="accent1" w:themeTint="90" w:sz="4" w:space="0"/>
        <w:right w:val="single" w:color="9BB7D9" w:themeColor="accent1" w:themeTint="90" w:sz="4" w:space="0"/>
        <w:insideH w:val="single" w:color="9BB7D9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3" w:customStyle="1">
    <w:name w:val="List Table 4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B9B9A" w:themeColor="accent2" w:themeTint="90" w:sz="4" w:space="0"/>
        <w:left w:val="single" w:color="DB9B9A" w:themeColor="accent2" w:themeTint="90" w:sz="4" w:space="0"/>
        <w:bottom w:val="single" w:color="DB9B9A" w:themeColor="accent2" w:themeTint="90" w:sz="4" w:space="0"/>
        <w:right w:val="single" w:color="DB9B9A" w:themeColor="accent2" w:themeTint="90" w:sz="4" w:space="0"/>
        <w:insideH w:val="single" w:color="DB9B9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4" w:customStyle="1">
    <w:name w:val="List Table 4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6D8A1" w:themeColor="accent3" w:themeTint="90" w:sz="4" w:space="0"/>
        <w:left w:val="single" w:color="C6D8A1" w:themeColor="accent3" w:themeTint="90" w:sz="4" w:space="0"/>
        <w:bottom w:val="single" w:color="C6D8A1" w:themeColor="accent3" w:themeTint="90" w:sz="4" w:space="0"/>
        <w:right w:val="single" w:color="C6D8A1" w:themeColor="accent3" w:themeTint="90" w:sz="4" w:space="0"/>
        <w:insideH w:val="single" w:color="C6D8A1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5" w:customStyle="1">
    <w:name w:val="List Table 4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7A7CA" w:themeColor="accent4" w:themeTint="90" w:sz="4" w:space="0"/>
        <w:left w:val="single" w:color="B7A7CA" w:themeColor="accent4" w:themeTint="90" w:sz="4" w:space="0"/>
        <w:bottom w:val="single" w:color="B7A7CA" w:themeColor="accent4" w:themeTint="90" w:sz="4" w:space="0"/>
        <w:right w:val="single" w:color="B7A7CA" w:themeColor="accent4" w:themeTint="90" w:sz="4" w:space="0"/>
        <w:insideH w:val="single" w:color="B7A7CA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6" w:customStyle="1">
    <w:name w:val="List Table 4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9D0DE" w:themeColor="accent5" w:themeTint="90" w:sz="4" w:space="0"/>
        <w:left w:val="single" w:color="99D0DE" w:themeColor="accent5" w:themeTint="90" w:sz="4" w:space="0"/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7" w:customStyle="1">
    <w:name w:val="List Table 4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AC396" w:themeColor="accent6" w:themeTint="90" w:sz="4" w:space="0"/>
        <w:left w:val="single" w:color="FAC396" w:themeColor="accent6" w:themeTint="90" w:sz="4" w:space="0"/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8" w:customStyle="1">
    <w:name w:val="List Table 5 Dark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themeColor="text1" w:themeTint="80" w:fill="7f7f7f" w:themeFill="text1" w:themeFillTint="80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f7f7f" w:themeColor="text1" w:themeTint="80" w:fill="7f7f7f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themeColor="text1" w:themeTint="80" w:fill="7f7f7f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7F7F7F" w:themeColor="text1" w:themeTint="80" w:sz="32" w:space="0"/>
          <w:bottom w:val="single" w:color="FFFFFF" w:themeColor="light1" w:sz="12" w:space="0"/>
        </w:tcBorders>
        <w:shd w:val="clear" w:color="7f7f7f" w:themeColor="text1" w:themeTint="80" w:fill="7f7f7f" w:themeFill="text1" w:themeFillTint="80"/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69" w:customStyle="1">
    <w:name w:val="List Table 5 Dark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F81BD" w:themeColor="accent1" w:sz="32" w:space="0"/>
        <w:left w:val="single" w:color="4F81BD" w:themeColor="accent1" w:sz="32" w:space="0"/>
        <w:bottom w:val="single" w:color="4F81BD" w:themeColor="accent1" w:sz="32" w:space="0"/>
        <w:right w:val="single" w:color="4F81BD" w:themeColor="accent1" w:sz="32" w:space="0"/>
      </w:tblBorders>
      <w:shd w:val="clear" w:color="4f81bd" w:themeColor="accent1" w:fill="4f81bd" w:themeFill="accent1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f81bd" w:themeColor="accent1" w:fill="4f81bd" w:themeFill="accent1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4f81bd" w:themeColor="accent1" w:fill="4f81bd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f81bd" w:themeColor="accent1" w:fill="4f81bd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F81BD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4F81BD" w:themeColor="accent1" w:sz="32" w:space="0"/>
          <w:bottom w:val="single" w:color="FFFFFF" w:themeColor="light1" w:sz="12" w:space="0"/>
        </w:tcBorders>
        <w:shd w:val="clear" w:color="4f81bd" w:themeColor="accent1" w:fill="4f81bd" w:themeFill="accent1"/>
      </w:tcPr>
    </w:tblStylePr>
    <w:tblStylePr w:type="lastCol">
      <w:tcPr>
        <w:tcBorders>
          <w:left w:val="single" w:color="FFFFFF" w:themeColor="light1" w:sz="4" w:space="0"/>
          <w:right w:val="single" w:color="4F81BD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0" w:customStyle="1">
    <w:name w:val="List Table 5 Dark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99695" w:themeColor="accent2" w:themeTint="97" w:sz="32" w:space="0"/>
        <w:left w:val="single" w:color="D99695" w:themeColor="accent2" w:themeTint="97" w:sz="32" w:space="0"/>
        <w:bottom w:val="single" w:color="D99695" w:themeColor="accent2" w:themeTint="97" w:sz="32" w:space="0"/>
        <w:right w:val="single" w:color="D99695" w:themeColor="accent2" w:themeTint="97" w:sz="32" w:space="0"/>
      </w:tblBorders>
      <w:shd w:val="clear" w:color="d99695" w:themeColor="accent2" w:themeTint="97" w:fill="d99695" w:themeFill="accent2" w:themeFillTint="97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d99695" w:themeColor="accent2" w:themeTint="97" w:fill="d99695" w:themeFill="accent2" w:themeFillTint="97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d99695" w:themeColor="accent2" w:themeTint="97" w:fill="d9969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d99695" w:themeColor="accent2" w:themeTint="97" w:fill="d9969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D99695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D99695" w:themeColor="accent2" w:themeTint="97" w:sz="32" w:space="0"/>
          <w:bottom w:val="single" w:color="FFFFFF" w:themeColor="light1" w:sz="12" w:space="0"/>
        </w:tcBorders>
        <w:shd w:val="clear" w:color="d99695" w:themeColor="accent2" w:themeTint="97" w:fill="d99695" w:themeFill="accent2" w:themeFillTint="97"/>
      </w:tcPr>
    </w:tblStylePr>
    <w:tblStylePr w:type="lastCol">
      <w:tcPr>
        <w:tcBorders>
          <w:left w:val="single" w:color="FFFFFF" w:themeColor="light1" w:sz="4" w:space="0"/>
          <w:right w:val="single" w:color="D99695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1" w:customStyle="1">
    <w:name w:val="List Table 5 Dark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3D69B" w:themeColor="accent3" w:themeTint="98" w:sz="32" w:space="0"/>
        <w:left w:val="single" w:color="C3D69B" w:themeColor="accent3" w:themeTint="98" w:sz="32" w:space="0"/>
        <w:bottom w:val="single" w:color="C3D69B" w:themeColor="accent3" w:themeTint="98" w:sz="32" w:space="0"/>
        <w:right w:val="single" w:color="C3D69B" w:themeColor="accent3" w:themeTint="98" w:sz="32" w:space="0"/>
      </w:tblBorders>
      <w:shd w:val="clear" w:color="c3d69b" w:themeColor="accent3" w:themeTint="98" w:fill="c3d69b" w:themeFill="accent3" w:themeFillTint="98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3d69b" w:themeColor="accent3" w:themeTint="98" w:fill="c3d69b" w:themeFill="accent3" w:themeFillTint="98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3d69b" w:themeColor="accent3" w:themeTint="98" w:fill="c3d69b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3d69b" w:themeColor="accent3" w:themeTint="98" w:fill="c3d69b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3D69B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C3D69B" w:themeColor="accent3" w:themeTint="98" w:sz="32" w:space="0"/>
          <w:bottom w:val="single" w:color="FFFFFF" w:themeColor="light1" w:sz="12" w:space="0"/>
        </w:tcBorders>
        <w:shd w:val="clear" w:color="c3d69b" w:themeColor="accent3" w:themeTint="98" w:fill="c3d69b" w:themeFill="accent3" w:themeFillTint="98"/>
      </w:tcPr>
    </w:tblStylePr>
    <w:tblStylePr w:type="lastCol">
      <w:tcPr>
        <w:tcBorders>
          <w:left w:val="single" w:color="FFFFFF" w:themeColor="light1" w:sz="4" w:space="0"/>
          <w:right w:val="single" w:color="C3D69B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2" w:customStyle="1">
    <w:name w:val="List Table 5 Dark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2A1C6" w:themeColor="accent4" w:themeTint="9A" w:sz="32" w:space="0"/>
        <w:left w:val="single" w:color="B2A1C6" w:themeColor="accent4" w:themeTint="9A" w:sz="32" w:space="0"/>
        <w:bottom w:val="single" w:color="B2A1C6" w:themeColor="accent4" w:themeTint="9A" w:sz="32" w:space="0"/>
        <w:right w:val="single" w:color="B2A1C6" w:themeColor="accent4" w:themeTint="9A" w:sz="32" w:space="0"/>
      </w:tblBorders>
      <w:shd w:val="clear" w:color="b2a1c6" w:themeColor="accent4" w:themeTint="9A" w:fill="b2a1c6" w:themeFill="accent4" w:themeFillTint="9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b2a1c6" w:themeColor="accent4" w:themeTint="9A" w:fill="b2a1c6" w:themeFill="accent4" w:themeFillTint="9A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b2a1c6" w:themeColor="accent4" w:themeTint="9A" w:fill="b2a1c6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b2a1c6" w:themeColor="accent4" w:themeTint="9A" w:fill="b2a1c6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B2A1C6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B2A1C6" w:themeColor="accent4" w:themeTint="9A" w:sz="32" w:space="0"/>
          <w:bottom w:val="single" w:color="FFFFFF" w:themeColor="light1" w:sz="12" w:space="0"/>
        </w:tcBorders>
        <w:shd w:val="clear" w:color="b2a1c6" w:themeColor="accent4" w:themeTint="9A" w:fill="b2a1c6" w:themeFill="accent4" w:themeFillTint="9A"/>
      </w:tcPr>
    </w:tblStylePr>
    <w:tblStylePr w:type="lastCol">
      <w:tcPr>
        <w:tcBorders>
          <w:left w:val="single" w:color="FFFFFF" w:themeColor="light1" w:sz="4" w:space="0"/>
          <w:right w:val="single" w:color="B2A1C6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3" w:customStyle="1">
    <w:name w:val="List Table 5 Dark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2CCDC" w:themeColor="accent5" w:themeTint="9A" w:sz="32" w:space="0"/>
        <w:left w:val="single" w:color="92CCDC" w:themeColor="accent5" w:themeTint="9A" w:sz="32" w:space="0"/>
        <w:bottom w:val="single" w:color="92CCDC" w:themeColor="accent5" w:themeTint="9A" w:sz="32" w:space="0"/>
        <w:right w:val="single" w:color="92CCDC" w:themeColor="accent5" w:themeTint="9A" w:sz="32" w:space="0"/>
      </w:tblBorders>
      <w:shd w:val="clear" w:color="92ccdc" w:themeColor="accent5" w:themeTint="9A" w:fill="92ccdc" w:themeFill="accent5" w:themeFillTint="9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2ccdc" w:themeColor="accent5" w:themeTint="9A" w:fill="92ccdc" w:themeFill="accent5" w:themeFillTint="9A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92ccdc" w:themeColor="accent5" w:themeTint="9A" w:fill="92ccdc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2ccdc" w:themeColor="accent5" w:themeTint="9A" w:fill="92ccdc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2CCDC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92CCDC" w:themeColor="accent5" w:themeTint="9A" w:sz="32" w:space="0"/>
          <w:bottom w:val="single" w:color="FFFFFF" w:themeColor="light1" w:sz="12" w:space="0"/>
        </w:tcBorders>
        <w:shd w:val="clear" w:color="92ccdc" w:themeColor="accent5" w:themeTint="9A" w:fill="92ccdc" w:themeFill="accent5" w:themeFillTint="9A"/>
      </w:tcPr>
    </w:tblStylePr>
    <w:tblStylePr w:type="lastCol">
      <w:tcPr>
        <w:tcBorders>
          <w:left w:val="single" w:color="FFFFFF" w:themeColor="light1" w:sz="4" w:space="0"/>
          <w:right w:val="single" w:color="92CCDC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4" w:customStyle="1">
    <w:name w:val="List Table 5 Dark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AC090" w:themeColor="accent6" w:themeTint="98" w:sz="32" w:space="0"/>
        <w:left w:val="single" w:color="FAC090" w:themeColor="accent6" w:themeTint="98" w:sz="32" w:space="0"/>
        <w:bottom w:val="single" w:color="FAC090" w:themeColor="accent6" w:themeTint="98" w:sz="32" w:space="0"/>
        <w:right w:val="single" w:color="FAC090" w:themeColor="accent6" w:themeTint="98" w:sz="32" w:space="0"/>
      </w:tblBorders>
      <w:shd w:val="clear" w:color="fac090" w:themeColor="accent6" w:themeTint="98" w:fill="fac090" w:themeFill="accent6" w:themeFillTint="98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ac090" w:themeColor="accent6" w:themeTint="98" w:fill="fac090" w:themeFill="accent6" w:themeFillTint="98"/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ac090" w:themeColor="accent6" w:themeTint="98" w:fill="fac090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ac090" w:themeColor="accent6" w:themeTint="98" w:fill="fac090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AC090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FAC090" w:themeColor="accent6" w:themeTint="98" w:sz="32" w:space="0"/>
          <w:bottom w:val="single" w:color="FFFFFF" w:themeColor="light1" w:sz="12" w:space="0"/>
        </w:tcBorders>
        <w:shd w:val="clear" w:color="fac090" w:themeColor="accent6" w:themeTint="98" w:fill="fac090" w:themeFill="accent6" w:themeFillTint="98"/>
      </w:tcPr>
    </w:tblStylePr>
    <w:tblStylePr w:type="lastCol">
      <w:tcPr>
        <w:tcBorders>
          <w:left w:val="single" w:color="FFFFFF" w:themeColor="light1" w:sz="4" w:space="0"/>
          <w:right w:val="single" w:color="FAC09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5" w:customStyle="1">
    <w:name w:val="List Table 6 Colorful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F7F7F" w:themeColor="text1" w:themeTint="80" w:sz="4" w:space="0"/>
        <w:bottom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876" w:customStyle="1">
    <w:name w:val="List Table 6 Colorful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F81BD" w:themeColor="accent1" w:sz="4" w:space="0"/>
        <w:bottom w:val="single" w:color="4F81BD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a4a71" w:themeColor="accent1" w:themeShade="95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  <w:tblStylePr w:type="firstCol">
      <w:rPr>
        <w:b/>
        <w:color w:val="2a4a71" w:themeColor="accent1" w:themeShade="95"/>
      </w:rPr>
    </w:tblStylePr>
    <w:tblStylePr w:type="firstRow">
      <w:rPr>
        <w:b/>
        <w:color w:val="2a4a71" w:themeColor="accent1" w:themeShade="95"/>
      </w:rPr>
      <w:tcPr>
        <w:tcBorders>
          <w:bottom w:val="single" w:color="4F81BD" w:themeColor="accent1" w:sz="4" w:space="0"/>
        </w:tcBorders>
      </w:tcPr>
    </w:tblStylePr>
    <w:tblStylePr w:type="lastCol">
      <w:rPr>
        <w:b/>
        <w:color w:val="2a4a71" w:themeColor="accent1" w:themeShade="95"/>
      </w:rPr>
    </w:tblStylePr>
    <w:tblStylePr w:type="lastRow">
      <w:rPr>
        <w:b/>
        <w:color w:val="2a4a71" w:themeColor="accent1" w:themeShade="95"/>
      </w:rPr>
      <w:tcPr>
        <w:tcBorders>
          <w:top w:val="single" w:color="4F81BD" w:themeColor="accent1" w:sz="4" w:space="0"/>
        </w:tcBorders>
      </w:tcPr>
    </w:tblStylePr>
  </w:style>
  <w:style w:type="table" w:styleId="877" w:customStyle="1">
    <w:name w:val="List Table 6 Colorful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99695" w:themeColor="accent2" w:themeTint="97" w:sz="4" w:space="0"/>
        <w:bottom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b/>
        <w:color w:val="d99695" w:themeColor="accent2" w:themeTint="97" w:themeShade="95"/>
      </w:rPr>
    </w:tblStylePr>
    <w:tblStylePr w:type="firstRow">
      <w:rPr>
        <w:b/>
        <w:color w:val="d99695" w:themeColor="accent2" w:themeTint="97" w:themeShade="95"/>
      </w:rPr>
      <w:tcPr>
        <w:tcBorders>
          <w:bottom w:val="single" w:color="D99695" w:themeColor="accent2" w:themeTint="97" w:sz="4" w:space="0"/>
        </w:tcBorders>
      </w:tcPr>
    </w:tblStylePr>
    <w:tblStylePr w:type="lastCol">
      <w:rPr>
        <w:b/>
        <w:color w:val="d99695" w:themeColor="accent2" w:themeTint="97" w:themeShade="95"/>
      </w:rPr>
    </w:tblStylePr>
    <w:tblStylePr w:type="lastRow">
      <w:rPr>
        <w:b/>
        <w:color w:val="d99695" w:themeColor="accent2" w:themeTint="97" w:themeShade="95"/>
      </w:rPr>
      <w:tcPr>
        <w:tcBorders>
          <w:top w:val="single" w:color="D99695" w:themeColor="accent2" w:themeTint="97" w:sz="4" w:space="0"/>
        </w:tcBorders>
      </w:tcPr>
    </w:tblStylePr>
  </w:style>
  <w:style w:type="table" w:styleId="878" w:customStyle="1">
    <w:name w:val="List Table 6 Colorful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3D69B" w:themeColor="accent3" w:themeTint="98" w:sz="4" w:space="0"/>
        <w:bottom w:val="single" w:color="C3D69B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c3d69b" w:themeColor="accent3" w:themeTint="98" w:themeShade="95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  <w:tblStylePr w:type="firstCol">
      <w:rPr>
        <w:b/>
        <w:color w:val="c3d69b" w:themeColor="accent3" w:themeTint="98" w:themeShade="95"/>
      </w:rPr>
    </w:tblStylePr>
    <w:tblStylePr w:type="firstRow">
      <w:rPr>
        <w:b/>
        <w:color w:val="c3d69b" w:themeColor="accent3" w:themeTint="98" w:themeShade="95"/>
      </w:rPr>
      <w:tcPr>
        <w:tcBorders>
          <w:bottom w:val="single" w:color="C3D69B" w:themeColor="accent3" w:themeTint="98" w:sz="4" w:space="0"/>
        </w:tcBorders>
      </w:tcPr>
    </w:tblStylePr>
    <w:tblStylePr w:type="lastCol">
      <w:rPr>
        <w:b/>
        <w:color w:val="c3d69b" w:themeColor="accent3" w:themeTint="98" w:themeShade="95"/>
      </w:rPr>
    </w:tblStylePr>
    <w:tblStylePr w:type="lastRow">
      <w:rPr>
        <w:b/>
        <w:color w:val="c3d69b" w:themeColor="accent3" w:themeTint="98" w:themeShade="95"/>
      </w:rPr>
      <w:tcPr>
        <w:tcBorders>
          <w:top w:val="single" w:color="C3D69B" w:themeColor="accent3" w:themeTint="98" w:sz="4" w:space="0"/>
        </w:tcBorders>
      </w:tcPr>
    </w:tblStylePr>
  </w:style>
  <w:style w:type="table" w:styleId="879" w:customStyle="1">
    <w:name w:val="List Table 6 Colorful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2A1C6" w:themeColor="accent4" w:themeTint="9A" w:sz="4" w:space="0"/>
        <w:bottom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b/>
        <w:color w:val="b2a1c6" w:themeColor="accent4" w:themeTint="9A" w:themeShade="95"/>
      </w:rPr>
    </w:tblStylePr>
    <w:tblStylePr w:type="firstRow">
      <w:rPr>
        <w:b/>
        <w:color w:val="b2a1c6" w:themeColor="accent4" w:themeTint="9A" w:themeShade="95"/>
      </w:rPr>
      <w:tcPr>
        <w:tcBorders>
          <w:bottom w:val="single" w:color="B2A1C6" w:themeColor="accent4" w:themeTint="9A" w:sz="4" w:space="0"/>
        </w:tcBorders>
      </w:tcPr>
    </w:tblStylePr>
    <w:tblStylePr w:type="lastCol">
      <w:rPr>
        <w:b/>
        <w:color w:val="b2a1c6" w:themeColor="accent4" w:themeTint="9A" w:themeShade="95"/>
      </w:rPr>
    </w:tblStylePr>
    <w:tblStylePr w:type="lastRow">
      <w:rPr>
        <w:b/>
        <w:color w:val="b2a1c6" w:themeColor="accent4" w:themeTint="9A" w:themeShade="95"/>
      </w:rPr>
      <w:tcPr>
        <w:tcBorders>
          <w:top w:val="single" w:color="B2A1C6" w:themeColor="accent4" w:themeTint="9A" w:sz="4" w:space="0"/>
        </w:tcBorders>
      </w:tcPr>
    </w:tblStylePr>
  </w:style>
  <w:style w:type="table" w:styleId="880" w:customStyle="1">
    <w:name w:val="List Table 6 Colorful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2CCDC" w:themeColor="accent5" w:themeTint="9A" w:sz="4" w:space="0"/>
        <w:bottom w:val="single" w:color="92CCDC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92ccdc" w:themeColor="accent5" w:themeTint="9A" w:themeShade="95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  <w:tblStylePr w:type="firstCol">
      <w:rPr>
        <w:b/>
        <w:color w:val="92ccdc" w:themeColor="accent5" w:themeTint="9A" w:themeShade="95"/>
      </w:rPr>
    </w:tblStylePr>
    <w:tblStylePr w:type="firstRow">
      <w:rPr>
        <w:b/>
        <w:color w:val="92ccdc" w:themeColor="accent5" w:themeTint="9A" w:themeShade="95"/>
      </w:rPr>
      <w:tcPr>
        <w:tcBorders>
          <w:bottom w:val="single" w:color="92CCDC" w:themeColor="accent5" w:themeTint="9A" w:sz="4" w:space="0"/>
        </w:tcBorders>
      </w:tcPr>
    </w:tblStylePr>
    <w:tblStylePr w:type="lastCol">
      <w:rPr>
        <w:b/>
        <w:color w:val="92ccdc" w:themeColor="accent5" w:themeTint="9A" w:themeShade="95"/>
      </w:rPr>
    </w:tblStylePr>
    <w:tblStylePr w:type="lastRow">
      <w:rPr>
        <w:b/>
        <w:color w:val="92ccdc" w:themeColor="accent5" w:themeTint="9A" w:themeShade="95"/>
      </w:rPr>
      <w:tcPr>
        <w:tcBorders>
          <w:top w:val="single" w:color="92CCDC" w:themeColor="accent5" w:themeTint="9A" w:sz="4" w:space="0"/>
        </w:tcBorders>
      </w:tcPr>
    </w:tblStylePr>
  </w:style>
  <w:style w:type="table" w:styleId="881" w:customStyle="1">
    <w:name w:val="List Table 6 Colorful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AC090" w:themeColor="accent6" w:themeTint="98" w:sz="4" w:space="0"/>
        <w:bottom w:val="single" w:color="FAC090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ac090" w:themeColor="accent6" w:themeTint="98" w:themeShade="95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  <w:tblStylePr w:type="firstCol">
      <w:rPr>
        <w:b/>
        <w:color w:val="fac090" w:themeColor="accent6" w:themeTint="98" w:themeShade="95"/>
      </w:rPr>
    </w:tblStylePr>
    <w:tblStylePr w:type="firstRow">
      <w:rPr>
        <w:b/>
        <w:color w:val="fac090" w:themeColor="accent6" w:themeTint="98" w:themeShade="95"/>
      </w:rPr>
      <w:tcPr>
        <w:tcBorders>
          <w:bottom w:val="single" w:color="FAC090" w:themeColor="accent6" w:themeTint="98" w:sz="4" w:space="0"/>
        </w:tcBorders>
      </w:tcPr>
    </w:tblStylePr>
    <w:tblStylePr w:type="lastCol">
      <w:rPr>
        <w:b/>
        <w:color w:val="fac090" w:themeColor="accent6" w:themeTint="98" w:themeShade="95"/>
      </w:rPr>
    </w:tblStylePr>
    <w:tblStylePr w:type="lastRow">
      <w:rPr>
        <w:b/>
        <w:color w:val="fac090" w:themeColor="accent6" w:themeTint="98" w:themeShade="95"/>
      </w:rPr>
      <w:tcPr>
        <w:tcBorders>
          <w:top w:val="single" w:color="FAC090" w:themeColor="accent6" w:themeTint="98" w:sz="4" w:space="0"/>
        </w:tcBorders>
      </w:tcPr>
    </w:tblStylePr>
  </w:style>
  <w:style w:type="table" w:styleId="882" w:customStyle="1">
    <w:name w:val="List Table 7 Colorful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3" w:customStyle="1">
    <w:name w:val="List Table 7 Colorful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4F81BD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a4a71" w:themeColor="accent1" w:themeShade="95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  <w:tblStylePr w:type="firstCol">
      <w:rPr>
        <w:rFonts w:ascii="Arial" w:hAnsi="Arial"/>
        <w:i/>
        <w:color w:val="2a4a71" w:themeColor="accent1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F81BD" w:themeColor="accent1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2a4a71" w:themeColor="accent1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4F81BD" w:themeColor="accent1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cPr>
        <w:tcBorders>
          <w:top w:val="none" w:color="000000" w:sz="4" w:space="0"/>
          <w:left w:val="single" w:color="4F81BD" w:themeColor="accent1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cPr>
        <w:tcBorders>
          <w:top w:val="single" w:color="4F81BD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4" w:customStyle="1">
    <w:name w:val="List Table 7 Colorful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D99695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rFonts w:ascii="Arial" w:hAnsi="Arial"/>
        <w:i/>
        <w:color w:val="d99695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D99695" w:themeColor="accent2" w:themeTint="97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d99695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D99695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cPr>
        <w:tcBorders>
          <w:top w:val="none" w:color="000000" w:sz="4" w:space="0"/>
          <w:left w:val="single" w:color="D99695" w:themeColor="accent2" w:themeTint="97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cPr>
        <w:tcBorders>
          <w:top w:val="single" w:color="D99695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5" w:customStyle="1">
    <w:name w:val="List Table 7 Colorful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C3D69B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c3d69b" w:themeColor="accent3" w:themeTint="98" w:themeShade="95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  <w:tblStylePr w:type="firstCol">
      <w:rPr>
        <w:rFonts w:ascii="Arial" w:hAnsi="Arial"/>
        <w:i/>
        <w:color w:val="c3d69b" w:themeColor="accent3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3D69B" w:themeColor="accent3" w:themeTint="98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c3d69b" w:themeColor="accent3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C3D69B" w:themeColor="accent3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cPr>
        <w:tcBorders>
          <w:top w:val="none" w:color="000000" w:sz="4" w:space="0"/>
          <w:left w:val="single" w:color="C3D69B" w:themeColor="accent3" w:themeTint="98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cPr>
        <w:tcBorders>
          <w:top w:val="single" w:color="C3D69B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6" w:customStyle="1">
    <w:name w:val="List Table 7 Colorful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B2A1C6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rFonts w:ascii="Arial" w:hAnsi="Arial"/>
        <w:i/>
        <w:color w:val="b2a1c6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B2A1C6" w:themeColor="accent4" w:themeTint="9A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b2a1c6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B2A1C6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cPr>
        <w:tcBorders>
          <w:top w:val="none" w:color="000000" w:sz="4" w:space="0"/>
          <w:left w:val="single" w:color="B2A1C6" w:themeColor="accent4" w:themeTint="9A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cPr>
        <w:tcBorders>
          <w:top w:val="single" w:color="B2A1C6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7" w:customStyle="1">
    <w:name w:val="List Table 7 Colorful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92CCDC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92ccdc" w:themeColor="accent5" w:themeTint="9A" w:themeShade="95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  <w:tblStylePr w:type="firstCol">
      <w:rPr>
        <w:rFonts w:ascii="Arial" w:hAnsi="Arial"/>
        <w:i/>
        <w:color w:val="92ccdc" w:themeColor="accent5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2CCDC" w:themeColor="accent5" w:themeTint="9A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92ccdc" w:themeColor="accent5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92CCDC" w:themeColor="accent5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cPr>
        <w:tcBorders>
          <w:top w:val="none" w:color="000000" w:sz="4" w:space="0"/>
          <w:left w:val="single" w:color="92CCDC" w:themeColor="accent5" w:themeTint="9A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cPr>
        <w:tcBorders>
          <w:top w:val="single" w:color="92CCDC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8" w:customStyle="1">
    <w:name w:val="List Table 7 Colorful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FAC090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ac090" w:themeColor="accent6" w:themeTint="98" w:themeShade="95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  <w:tblStylePr w:type="firstCol">
      <w:rPr>
        <w:rFonts w:ascii="Arial" w:hAnsi="Arial"/>
        <w:i/>
        <w:color w:val="fac090" w:themeColor="accent6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AC090" w:themeColor="accent6" w:themeTint="98" w:sz="4" w:space="0"/>
        </w:tcBorders>
        <w:shd w:val="clear" w:color="ffffff" w:fill="auto"/>
      </w:tcPr>
    </w:tblStylePr>
    <w:tblStylePr w:type="firstRow">
      <w:rPr>
        <w:rFonts w:ascii="Arial" w:hAnsi="Arial"/>
        <w:i/>
        <w:color w:val="fac090" w:themeColor="accent6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FAC090" w:themeColor="accent6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cPr>
        <w:tcBorders>
          <w:top w:val="none" w:color="000000" w:sz="4" w:space="0"/>
          <w:left w:val="single" w:color="FAC090" w:themeColor="accent6" w:themeTint="98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cPr>
        <w:tcBorders>
          <w:top w:val="single" w:color="FAC09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89" w:customStyle="1">
    <w:name w:val="Lined - Accent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890" w:customStyle="1">
    <w:name w:val="Lined - Accent 1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</w:style>
  <w:style w:type="table" w:styleId="891" w:customStyle="1">
    <w:name w:val="Lined - Accent 2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</w:style>
  <w:style w:type="table" w:styleId="892" w:customStyle="1">
    <w:name w:val="Lined - Accent 3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</w:style>
  <w:style w:type="table" w:styleId="893" w:customStyle="1">
    <w:name w:val="Lined - Accent 4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</w:style>
  <w:style w:type="table" w:styleId="894" w:customStyle="1">
    <w:name w:val="Lined - Accent 5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</w:style>
  <w:style w:type="table" w:styleId="895" w:customStyle="1">
    <w:name w:val="Lined - Accent 6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</w:style>
  <w:style w:type="table" w:styleId="896" w:customStyle="1">
    <w:name w:val="Bordered &amp; Lined - Accent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0" w:fill="f2f2f2" w:themeFill="text1" w:themeFillTint="00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897" w:customStyle="1">
    <w:name w:val="Bordered &amp; Lined - Accent 1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2A4A71" w:themeColor="accent1" w:themeShade="95" w:sz="4" w:space="0"/>
        <w:left w:val="single" w:color="2A4A71" w:themeColor="accent1" w:themeShade="95" w:sz="4" w:space="0"/>
        <w:bottom w:val="single" w:color="2A4A71" w:themeColor="accent1" w:themeShade="95" w:sz="4" w:space="0"/>
        <w:right w:val="single" w:color="2A4A71" w:themeColor="accent1" w:themeShade="95" w:sz="4" w:space="0"/>
        <w:insideH w:val="single" w:color="2A4A71" w:themeColor="accent1" w:themeShade="95" w:sz="4" w:space="0"/>
        <w:insideV w:val="single" w:color="2A4A71" w:themeColor="accent1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</w:style>
  <w:style w:type="table" w:styleId="898" w:customStyle="1">
    <w:name w:val="Bordered &amp; Lined - Accent 2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732A29" w:themeColor="accent2" w:themeShade="95" w:sz="4" w:space="0"/>
        <w:left w:val="single" w:color="732A29" w:themeColor="accent2" w:themeShade="95" w:sz="4" w:space="0"/>
        <w:bottom w:val="single" w:color="732A29" w:themeColor="accent2" w:themeShade="95" w:sz="4" w:space="0"/>
        <w:right w:val="single" w:color="732A29" w:themeColor="accent2" w:themeShade="95" w:sz="4" w:space="0"/>
        <w:insideH w:val="single" w:color="732A29" w:themeColor="accent2" w:themeShade="95" w:sz="4" w:space="0"/>
        <w:insideV w:val="single" w:color="732A29" w:themeColor="accent2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</w:style>
  <w:style w:type="table" w:styleId="899" w:customStyle="1">
    <w:name w:val="Bordered &amp; Lined - Accent 3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5B722E" w:themeColor="accent3" w:themeShade="95" w:sz="4" w:space="0"/>
        <w:left w:val="single" w:color="5B722E" w:themeColor="accent3" w:themeShade="95" w:sz="4" w:space="0"/>
        <w:bottom w:val="single" w:color="5B722E" w:themeColor="accent3" w:themeShade="95" w:sz="4" w:space="0"/>
        <w:right w:val="single" w:color="5B722E" w:themeColor="accent3" w:themeShade="95" w:sz="4" w:space="0"/>
        <w:insideH w:val="single" w:color="5B722E" w:themeColor="accent3" w:themeShade="95" w:sz="4" w:space="0"/>
        <w:insideV w:val="single" w:color="5B722E" w:themeColor="accent3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</w:style>
  <w:style w:type="table" w:styleId="900" w:customStyle="1">
    <w:name w:val="Bordered &amp; Lined - Accent 4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4A395F" w:themeColor="accent4" w:themeShade="95" w:sz="4" w:space="0"/>
        <w:left w:val="single" w:color="4A395F" w:themeColor="accent4" w:themeShade="95" w:sz="4" w:space="0"/>
        <w:bottom w:val="single" w:color="4A395F" w:themeColor="accent4" w:themeShade="95" w:sz="4" w:space="0"/>
        <w:right w:val="single" w:color="4A395F" w:themeColor="accent4" w:themeShade="95" w:sz="4" w:space="0"/>
        <w:insideH w:val="single" w:color="4A395F" w:themeColor="accent4" w:themeShade="95" w:sz="4" w:space="0"/>
        <w:insideV w:val="single" w:color="4A395F" w:themeColor="accent4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</w:style>
  <w:style w:type="table" w:styleId="901" w:customStyle="1">
    <w:name w:val="Bordered &amp; Lined - Accent 5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266779" w:themeColor="accent5" w:themeShade="95" w:sz="4" w:space="0"/>
        <w:left w:val="single" w:color="266779" w:themeColor="accent5" w:themeShade="95" w:sz="4" w:space="0"/>
        <w:bottom w:val="single" w:color="266779" w:themeColor="accent5" w:themeShade="95" w:sz="4" w:space="0"/>
        <w:right w:val="single" w:color="266779" w:themeColor="accent5" w:themeShade="95" w:sz="4" w:space="0"/>
        <w:insideH w:val="single" w:color="266779" w:themeColor="accent5" w:themeShade="95" w:sz="4" w:space="0"/>
        <w:insideV w:val="single" w:color="266779" w:themeColor="accent5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</w:style>
  <w:style w:type="table" w:styleId="902" w:customStyle="1">
    <w:name w:val="Bordered &amp; Lined - Accent 6"/>
    <w:basedOn w:val="73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B15407" w:themeColor="accent6" w:themeShade="95" w:sz="4" w:space="0"/>
        <w:left w:val="single" w:color="B15407" w:themeColor="accent6" w:themeShade="95" w:sz="4" w:space="0"/>
        <w:bottom w:val="single" w:color="B15407" w:themeColor="accent6" w:themeShade="95" w:sz="4" w:space="0"/>
        <w:right w:val="single" w:color="B15407" w:themeColor="accent6" w:themeShade="95" w:sz="4" w:space="0"/>
        <w:insideH w:val="single" w:color="B15407" w:themeColor="accent6" w:themeShade="95" w:sz="4" w:space="0"/>
        <w:insideV w:val="single" w:color="B15407" w:themeColor="accent6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</w:style>
  <w:style w:type="table" w:styleId="903" w:customStyle="1">
    <w:name w:val="Bordered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904" w:customStyle="1">
    <w:name w:val="Bordered - Accent 1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7CBE4" w:themeColor="accent1" w:themeTint="67" w:sz="4" w:space="0"/>
        <w:left w:val="single" w:color="B7CBE4" w:themeColor="accent1" w:themeTint="67" w:sz="4" w:space="0"/>
        <w:bottom w:val="single" w:color="B7CBE4" w:themeColor="accent1" w:themeTint="67" w:sz="4" w:space="0"/>
        <w:right w:val="single" w:color="B7CBE4" w:themeColor="accent1" w:themeTint="67" w:sz="4" w:space="0"/>
        <w:insideH w:val="single" w:color="B7CBE4" w:themeColor="accent1" w:themeTint="67" w:sz="4" w:space="0"/>
        <w:insideV w:val="single" w:color="B7CBE4" w:themeColor="accen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7CBE4" w:themeColor="accent1" w:themeTint="67" w:sz="4" w:space="0"/>
          <w:left w:val="single" w:color="B7CBE4" w:themeColor="accent1" w:themeTint="67" w:sz="4" w:space="0"/>
          <w:bottom w:val="single" w:color="B7CBE4" w:themeColor="accent1" w:themeTint="67" w:sz="4" w:space="0"/>
          <w:right w:val="single" w:color="B7CBE4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F81BD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F81BD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F81BD" w:themeColor="accent1" w:sz="12" w:space="0"/>
        </w:tcBorders>
      </w:tcPr>
    </w:tblStylePr>
  </w:style>
  <w:style w:type="table" w:styleId="905" w:customStyle="1">
    <w:name w:val="Bordered - Accent 2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E5B7B6" w:themeColor="accent2" w:themeTint="67" w:sz="4" w:space="0"/>
        <w:left w:val="single" w:color="E5B7B6" w:themeColor="accent2" w:themeTint="67" w:sz="4" w:space="0"/>
        <w:bottom w:val="single" w:color="E5B7B6" w:themeColor="accent2" w:themeTint="67" w:sz="4" w:space="0"/>
        <w:right w:val="single" w:color="E5B7B6" w:themeColor="accent2" w:themeTint="67" w:sz="4" w:space="0"/>
        <w:insideH w:val="single" w:color="E5B7B6" w:themeColor="accent2" w:themeTint="67" w:sz="4" w:space="0"/>
        <w:insideV w:val="single" w:color="E5B7B6" w:themeColor="accent2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E5B7B6" w:themeColor="accent2" w:themeTint="67" w:sz="4" w:space="0"/>
          <w:left w:val="single" w:color="E5B7B6" w:themeColor="accent2" w:themeTint="67" w:sz="4" w:space="0"/>
          <w:bottom w:val="single" w:color="E5B7B6" w:themeColor="accent2" w:themeTint="67" w:sz="4" w:space="0"/>
          <w:right w:val="single" w:color="E5B7B6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D99695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D9969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D99695" w:themeColor="accent2" w:themeTint="97" w:sz="12" w:space="0"/>
        </w:tcBorders>
      </w:tcPr>
    </w:tblStylePr>
  </w:style>
  <w:style w:type="table" w:styleId="906" w:customStyle="1">
    <w:name w:val="Bordered - Accent 3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D6E3BB" w:themeColor="accent3" w:themeTint="67" w:sz="4" w:space="0"/>
        <w:left w:val="single" w:color="D6E3BB" w:themeColor="accent3" w:themeTint="67" w:sz="4" w:space="0"/>
        <w:bottom w:val="single" w:color="D6E3BB" w:themeColor="accent3" w:themeTint="67" w:sz="4" w:space="0"/>
        <w:right w:val="single" w:color="D6E3BB" w:themeColor="accent3" w:themeTint="67" w:sz="4" w:space="0"/>
        <w:insideH w:val="single" w:color="D6E3BB" w:themeColor="accent3" w:themeTint="67" w:sz="4" w:space="0"/>
        <w:insideV w:val="single" w:color="D6E3BB" w:themeColor="accent3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6E3BB" w:themeColor="accent3" w:themeTint="67" w:sz="4" w:space="0"/>
          <w:left w:val="single" w:color="D6E3BB" w:themeColor="accent3" w:themeTint="67" w:sz="4" w:space="0"/>
          <w:bottom w:val="single" w:color="D6E3BB" w:themeColor="accent3" w:themeTint="67" w:sz="4" w:space="0"/>
          <w:right w:val="single" w:color="D6E3BB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3D69B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3D69B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3D69B" w:themeColor="accent3" w:themeTint="98" w:sz="12" w:space="0"/>
        </w:tcBorders>
      </w:tcPr>
    </w:tblStylePr>
  </w:style>
  <w:style w:type="table" w:styleId="907" w:customStyle="1">
    <w:name w:val="Bordered - Accent 4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BC0D9" w:themeColor="accent4" w:themeTint="67" w:sz="4" w:space="0"/>
        <w:left w:val="single" w:color="CBC0D9" w:themeColor="accent4" w:themeTint="67" w:sz="4" w:space="0"/>
        <w:bottom w:val="single" w:color="CBC0D9" w:themeColor="accent4" w:themeTint="67" w:sz="4" w:space="0"/>
        <w:right w:val="single" w:color="CBC0D9" w:themeColor="accent4" w:themeTint="67" w:sz="4" w:space="0"/>
        <w:insideH w:val="single" w:color="CBC0D9" w:themeColor="accent4" w:themeTint="67" w:sz="4" w:space="0"/>
        <w:insideV w:val="single" w:color="CBC0D9" w:themeColor="accent4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CBC0D9" w:themeColor="accent4" w:themeTint="67" w:sz="4" w:space="0"/>
          <w:left w:val="single" w:color="CBC0D9" w:themeColor="accent4" w:themeTint="67" w:sz="4" w:space="0"/>
          <w:bottom w:val="single" w:color="CBC0D9" w:themeColor="accent4" w:themeTint="67" w:sz="4" w:space="0"/>
          <w:right w:val="single" w:color="CBC0D9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B2A1C6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B2A1C6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B2A1C6" w:themeColor="accent4" w:themeTint="9A" w:sz="12" w:space="0"/>
        </w:tcBorders>
      </w:tcPr>
    </w:tblStylePr>
  </w:style>
  <w:style w:type="table" w:styleId="908" w:customStyle="1">
    <w:name w:val="Bordered - Accent 5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6DDE8" w:themeColor="accent5" w:themeTint="67" w:sz="4" w:space="0"/>
        <w:left w:val="single" w:color="B6DDE8" w:themeColor="accent5" w:themeTint="67" w:sz="4" w:space="0"/>
        <w:bottom w:val="single" w:color="B6DDE8" w:themeColor="accent5" w:themeTint="67" w:sz="4" w:space="0"/>
        <w:right w:val="single" w:color="B6DDE8" w:themeColor="accent5" w:themeTint="67" w:sz="4" w:space="0"/>
        <w:insideH w:val="single" w:color="B6DDE8" w:themeColor="accent5" w:themeTint="67" w:sz="4" w:space="0"/>
        <w:insideV w:val="single" w:color="B6DDE8" w:themeColor="accent5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6DDE8" w:themeColor="accent5" w:themeTint="67" w:sz="4" w:space="0"/>
          <w:left w:val="single" w:color="B6DDE8" w:themeColor="accent5" w:themeTint="67" w:sz="4" w:space="0"/>
          <w:bottom w:val="single" w:color="B6DDE8" w:themeColor="accent5" w:themeTint="67" w:sz="4" w:space="0"/>
          <w:right w:val="single" w:color="B6DDE8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2CCDC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2CCDC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2CCDC" w:themeColor="accent5" w:themeTint="9A" w:sz="12" w:space="0"/>
        </w:tcBorders>
      </w:tcPr>
    </w:tblStylePr>
  </w:style>
  <w:style w:type="table" w:styleId="909" w:customStyle="1">
    <w:name w:val="Bordered - Accent 6"/>
    <w:basedOn w:val="73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BD4B4" w:themeColor="accent6" w:themeTint="67" w:sz="4" w:space="0"/>
        <w:left w:val="single" w:color="FBD4B4" w:themeColor="accent6" w:themeTint="67" w:sz="4" w:space="0"/>
        <w:bottom w:val="single" w:color="FBD4B4" w:themeColor="accent6" w:themeTint="67" w:sz="4" w:space="0"/>
        <w:right w:val="single" w:color="FBD4B4" w:themeColor="accent6" w:themeTint="67" w:sz="4" w:space="0"/>
        <w:insideH w:val="single" w:color="FBD4B4" w:themeColor="accent6" w:themeTint="67" w:sz="4" w:space="0"/>
        <w:insideV w:val="single" w:color="FBD4B4" w:themeColor="accent6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BD4B4" w:themeColor="accent6" w:themeTint="67" w:sz="4" w:space="0"/>
          <w:left w:val="single" w:color="FBD4B4" w:themeColor="accent6" w:themeTint="67" w:sz="4" w:space="0"/>
          <w:bottom w:val="single" w:color="FBD4B4" w:themeColor="accent6" w:themeTint="67" w:sz="4" w:space="0"/>
          <w:right w:val="single" w:color="FBD4B4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AC09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AC09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AC090" w:themeColor="accent6" w:themeTint="98" w:sz="12" w:space="0"/>
        </w:tcBorders>
      </w:tcPr>
    </w:tblStylePr>
  </w:style>
  <w:style w:type="character" w:styleId="910">
    <w:name w:val="Hyperlink"/>
    <w:uiPriority w:val="99"/>
    <w:unhideWhenUsed/>
    <w:rPr>
      <w:color w:val="0000ff" w:themeColor="hyperlink"/>
      <w:u w:val="single"/>
    </w:rPr>
  </w:style>
  <w:style w:type="character" w:styleId="911" w:customStyle="1">
    <w:name w:val="Footnote Text Char"/>
    <w:uiPriority w:val="99"/>
    <w:rPr>
      <w:sz w:val="18"/>
    </w:rPr>
  </w:style>
  <w:style w:type="character" w:styleId="912" w:customStyle="1">
    <w:name w:val="Endnote Text Char"/>
    <w:uiPriority w:val="99"/>
    <w:rPr>
      <w:sz w:val="20"/>
    </w:rPr>
  </w:style>
  <w:style w:type="paragraph" w:styleId="913">
    <w:name w:val="toc 1"/>
    <w:basedOn w:val="737"/>
    <w:next w:val="737"/>
    <w:uiPriority w:val="39"/>
    <w:unhideWhenUsed/>
    <w:pPr>
      <w:spacing w:after="57"/>
    </w:pPr>
  </w:style>
  <w:style w:type="paragraph" w:styleId="914">
    <w:name w:val="toc 2"/>
    <w:basedOn w:val="737"/>
    <w:next w:val="737"/>
    <w:uiPriority w:val="39"/>
    <w:unhideWhenUsed/>
    <w:pPr>
      <w:spacing w:after="57"/>
      <w:ind w:left="283"/>
    </w:pPr>
  </w:style>
  <w:style w:type="paragraph" w:styleId="915">
    <w:name w:val="toc 3"/>
    <w:basedOn w:val="737"/>
    <w:next w:val="737"/>
    <w:uiPriority w:val="39"/>
    <w:unhideWhenUsed/>
    <w:pPr>
      <w:spacing w:after="57"/>
      <w:ind w:left="567"/>
    </w:pPr>
  </w:style>
  <w:style w:type="paragraph" w:styleId="916">
    <w:name w:val="toc 4"/>
    <w:basedOn w:val="737"/>
    <w:next w:val="737"/>
    <w:uiPriority w:val="39"/>
    <w:unhideWhenUsed/>
    <w:pPr>
      <w:spacing w:after="57"/>
      <w:ind w:left="850"/>
    </w:pPr>
  </w:style>
  <w:style w:type="paragraph" w:styleId="917">
    <w:name w:val="toc 5"/>
    <w:basedOn w:val="737"/>
    <w:next w:val="737"/>
    <w:uiPriority w:val="39"/>
    <w:unhideWhenUsed/>
    <w:pPr>
      <w:spacing w:after="57"/>
      <w:ind w:left="1134"/>
    </w:pPr>
  </w:style>
  <w:style w:type="paragraph" w:styleId="918">
    <w:name w:val="toc 6"/>
    <w:basedOn w:val="737"/>
    <w:next w:val="737"/>
    <w:uiPriority w:val="39"/>
    <w:unhideWhenUsed/>
    <w:pPr>
      <w:spacing w:after="57"/>
      <w:ind w:left="1417"/>
    </w:pPr>
  </w:style>
  <w:style w:type="paragraph" w:styleId="919">
    <w:name w:val="toc 7"/>
    <w:basedOn w:val="737"/>
    <w:next w:val="737"/>
    <w:uiPriority w:val="39"/>
    <w:unhideWhenUsed/>
    <w:pPr>
      <w:spacing w:after="57"/>
      <w:ind w:left="1701"/>
    </w:pPr>
  </w:style>
  <w:style w:type="paragraph" w:styleId="920">
    <w:name w:val="toc 8"/>
    <w:basedOn w:val="737"/>
    <w:next w:val="737"/>
    <w:uiPriority w:val="39"/>
    <w:unhideWhenUsed/>
    <w:pPr>
      <w:spacing w:after="57"/>
      <w:ind w:left="1984"/>
    </w:pPr>
  </w:style>
  <w:style w:type="paragraph" w:styleId="921">
    <w:name w:val="toc 9"/>
    <w:basedOn w:val="737"/>
    <w:next w:val="737"/>
    <w:uiPriority w:val="39"/>
    <w:unhideWhenUsed/>
    <w:pPr>
      <w:spacing w:after="57"/>
      <w:ind w:left="2268"/>
    </w:pPr>
  </w:style>
  <w:style w:type="paragraph" w:styleId="922">
    <w:name w:val="TOC Heading"/>
    <w:uiPriority w:val="39"/>
    <w:unhideWhenUsed/>
  </w:style>
  <w:style w:type="paragraph" w:styleId="923">
    <w:name w:val="table of figures"/>
    <w:basedOn w:val="737"/>
    <w:next w:val="737"/>
    <w:uiPriority w:val="99"/>
    <w:unhideWhenUsed/>
  </w:style>
  <w:style w:type="character" w:styleId="924" w:customStyle="1">
    <w:name w:val="Заголовок 1 Знак"/>
    <w:basedOn w:val="738"/>
    <w:link w:val="741"/>
    <w:qFormat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925">
    <w:name w:val="Balloon Text"/>
    <w:basedOn w:val="737"/>
    <w:link w:val="926"/>
    <w:unhideWhenUsed/>
    <w:qFormat/>
    <w:rPr>
      <w:rFonts w:ascii="Tahoma" w:hAnsi="Tahoma" w:cs="Tahoma"/>
      <w:sz w:val="16"/>
      <w:szCs w:val="16"/>
    </w:rPr>
  </w:style>
  <w:style w:type="character" w:styleId="926" w:customStyle="1">
    <w:name w:val="Текст выноски Знак"/>
    <w:basedOn w:val="738"/>
    <w:link w:val="925"/>
    <w:qFormat/>
    <w:rPr>
      <w:rFonts w:ascii="Tahoma" w:hAnsi="Tahoma" w:cs="Tahoma"/>
      <w:sz w:val="16"/>
      <w:szCs w:val="16"/>
      <w:lang w:eastAsia="ru-RU"/>
    </w:rPr>
  </w:style>
  <w:style w:type="paragraph" w:styleId="927" w:customStyle="1">
    <w:name w:val="Header"/>
    <w:basedOn w:val="737"/>
    <w:link w:val="928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28" w:customStyle="1">
    <w:name w:val="Верхний колонтитул Знак"/>
    <w:basedOn w:val="738"/>
    <w:link w:val="927"/>
    <w:uiPriority w:val="99"/>
    <w:qFormat/>
    <w:rPr>
      <w:rFonts w:ascii="Times New Roman" w:hAnsi="Times New Roman" w:cs="Times New Roman"/>
      <w:sz w:val="24"/>
      <w:szCs w:val="24"/>
      <w:lang w:eastAsia="ru-RU"/>
    </w:rPr>
  </w:style>
  <w:style w:type="paragraph" w:styleId="929" w:customStyle="1">
    <w:name w:val="Footer"/>
    <w:basedOn w:val="737"/>
    <w:link w:val="930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30" w:customStyle="1">
    <w:name w:val="Нижний колонтитул Знак"/>
    <w:basedOn w:val="738"/>
    <w:link w:val="929"/>
    <w:uiPriority w:val="99"/>
    <w:qFormat/>
    <w:rPr>
      <w:rFonts w:ascii="Times New Roman" w:hAnsi="Times New Roman" w:cs="Times New Roman"/>
      <w:sz w:val="24"/>
      <w:szCs w:val="24"/>
      <w:lang w:eastAsia="ru-RU"/>
    </w:rPr>
  </w:style>
  <w:style w:type="paragraph" w:styleId="931" w:customStyle="1">
    <w:name w:val="14-15"/>
    <w:basedOn w:val="737"/>
    <w:qFormat/>
    <w:pPr>
      <w:spacing w:line="360" w:lineRule="auto"/>
      <w:ind w:firstLine="709"/>
      <w:jc w:val="both"/>
    </w:pPr>
    <w:rPr>
      <w:sz w:val="28"/>
    </w:rPr>
  </w:style>
  <w:style w:type="table" w:styleId="932">
    <w:name w:val="Table Grid"/>
    <w:basedOn w:val="739"/>
    <w:uiPriority w:val="59"/>
    <w:pPr>
      <w:spacing w:after="0" w:line="240" w:lineRule="auto"/>
    </w:pPr>
    <w:rPr>
      <w:rFonts w:cstheme="minorBid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933" w:customStyle="1">
    <w:name w:val="Заголовок 11"/>
    <w:basedOn w:val="737"/>
    <w:next w:val="1000"/>
    <w:qFormat/>
    <w:pPr>
      <w:numPr>
        <w:numId w:val="1"/>
        <w:ilvl w:val="0"/>
      </w:numPr>
      <w:spacing w:before="280" w:after="280"/>
      <w:outlineLvl w:val="0"/>
    </w:pPr>
    <w:rPr>
      <w:b/>
      <w:bCs/>
      <w:sz w:val="48"/>
      <w:szCs w:val="48"/>
      <w:lang w:eastAsia="zh-CN"/>
    </w:rPr>
  </w:style>
  <w:style w:type="paragraph" w:styleId="934" w:customStyle="1">
    <w:name w:val="Заголовок 21"/>
    <w:basedOn w:val="737"/>
    <w:next w:val="737"/>
    <w:qFormat/>
    <w:pPr>
      <w:keepNext/>
      <w:numPr>
        <w:numId w:val="1"/>
        <w:ilvl w:val="1"/>
      </w:numPr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  <w:lang w:eastAsia="zh-CN"/>
    </w:rPr>
  </w:style>
  <w:style w:type="paragraph" w:styleId="935" w:customStyle="1">
    <w:name w:val="Заголовок 31"/>
    <w:basedOn w:val="737"/>
    <w:next w:val="737"/>
    <w:qFormat/>
    <w:pPr>
      <w:keepNext/>
      <w:numPr>
        <w:numId w:val="1"/>
        <w:ilvl w:val="2"/>
      </w:numPr>
      <w:jc w:val="center"/>
      <w:outlineLvl w:val="2"/>
    </w:pPr>
    <w:rPr>
      <w:b/>
      <w:caps/>
      <w:sz w:val="22"/>
      <w:szCs w:val="20"/>
      <w:lang w:eastAsia="zh-CN"/>
    </w:rPr>
  </w:style>
  <w:style w:type="paragraph" w:styleId="936" w:customStyle="1">
    <w:name w:val="Заголовок 41"/>
    <w:basedOn w:val="737"/>
    <w:next w:val="737"/>
    <w:qFormat/>
    <w:pPr>
      <w:keepNext/>
      <w:numPr>
        <w:numId w:val="1"/>
        <w:ilvl w:val="3"/>
      </w:numPr>
      <w:spacing w:before="240" w:after="60"/>
      <w:outlineLvl w:val="3"/>
    </w:pPr>
    <w:rPr>
      <w:rFonts w:ascii="Calibri" w:hAnsi="Calibri" w:cs="Calibri"/>
      <w:b/>
      <w:bCs/>
      <w:sz w:val="28"/>
      <w:szCs w:val="28"/>
      <w:lang w:eastAsia="zh-CN"/>
    </w:rPr>
  </w:style>
  <w:style w:type="character" w:styleId="937" w:customStyle="1">
    <w:name w:val="WW8Num1z0"/>
    <w:qFormat/>
  </w:style>
  <w:style w:type="character" w:styleId="938" w:customStyle="1">
    <w:name w:val="WW8Num2z0"/>
    <w:qFormat/>
  </w:style>
  <w:style w:type="character" w:styleId="939" w:customStyle="1">
    <w:name w:val="WW8Num3z0"/>
    <w:qFormat/>
    <w:rPr>
      <w:rFonts w:ascii="Times New Roman CYR" w:hAnsi="Times New Roman CYR"/>
    </w:rPr>
  </w:style>
  <w:style w:type="character" w:styleId="940" w:customStyle="1">
    <w:name w:val="WW8Num4z0"/>
    <w:qFormat/>
    <w:rPr>
      <w:rFonts w:ascii="Times New Roman CYR" w:hAnsi="Times New Roman CYR"/>
    </w:rPr>
  </w:style>
  <w:style w:type="character" w:styleId="941" w:customStyle="1">
    <w:name w:val="WW8Num5z0"/>
    <w:qFormat/>
    <w:rPr>
      <w:rFonts w:ascii="Times New Roman CYR" w:hAnsi="Times New Roman CYR"/>
      <w:strike/>
      <w:sz w:val="24"/>
    </w:rPr>
  </w:style>
  <w:style w:type="character" w:styleId="942" w:customStyle="1">
    <w:name w:val="WW8Num6z0"/>
    <w:qFormat/>
  </w:style>
  <w:style w:type="character" w:styleId="943" w:customStyle="1">
    <w:name w:val="WW8Num6z1"/>
    <w:qFormat/>
  </w:style>
  <w:style w:type="character" w:styleId="944" w:customStyle="1">
    <w:name w:val="WW8Num7z0"/>
    <w:qFormat/>
    <w:rPr>
      <w:rFonts w:ascii="Times New Roman CYR" w:hAnsi="Times New Roman CYR"/>
    </w:rPr>
  </w:style>
  <w:style w:type="character" w:styleId="945" w:customStyle="1">
    <w:name w:val="WW8Num8z0"/>
    <w:qFormat/>
    <w:rPr>
      <w:rFonts w:ascii="Times New Roman CYR" w:hAnsi="Times New Roman CYR"/>
    </w:rPr>
  </w:style>
  <w:style w:type="character" w:styleId="946" w:customStyle="1">
    <w:name w:val="WW8Num9z0"/>
    <w:qFormat/>
  </w:style>
  <w:style w:type="character" w:styleId="947" w:customStyle="1">
    <w:name w:val="WW8Num9z1"/>
    <w:qFormat/>
  </w:style>
  <w:style w:type="character" w:styleId="948" w:customStyle="1">
    <w:name w:val="WW8Num10z0"/>
    <w:qFormat/>
    <w:rPr>
      <w:rFonts w:ascii="Times New Roman CYR" w:hAnsi="Times New Roman CYR"/>
    </w:rPr>
  </w:style>
  <w:style w:type="character" w:styleId="949" w:customStyle="1">
    <w:name w:val="WW8Num11z0"/>
    <w:qFormat/>
  </w:style>
  <w:style w:type="character" w:styleId="950" w:customStyle="1">
    <w:name w:val="WW8Num11z1"/>
    <w:qFormat/>
  </w:style>
  <w:style w:type="character" w:styleId="951" w:customStyle="1">
    <w:name w:val="WW8Num12z0"/>
    <w:qFormat/>
  </w:style>
  <w:style w:type="character" w:styleId="952" w:customStyle="1">
    <w:name w:val="WW8Num12z1"/>
    <w:qFormat/>
  </w:style>
  <w:style w:type="character" w:styleId="953" w:customStyle="1">
    <w:name w:val="WW8Num13z0"/>
    <w:qFormat/>
    <w:rPr>
      <w:rFonts w:ascii="Times New Roman CYR" w:hAnsi="Times New Roman CYR"/>
      <w:sz w:val="24"/>
    </w:rPr>
  </w:style>
  <w:style w:type="character" w:styleId="954" w:customStyle="1">
    <w:name w:val="WW8Num14z0"/>
    <w:qFormat/>
    <w:rPr>
      <w:rFonts w:ascii="Symbol" w:hAnsi="Symbol"/>
    </w:rPr>
  </w:style>
  <w:style w:type="character" w:styleId="955" w:customStyle="1">
    <w:name w:val="WW8Num14z1"/>
    <w:qFormat/>
    <w:rPr>
      <w:rFonts w:ascii="Courier New" w:hAnsi="Courier New"/>
    </w:rPr>
  </w:style>
  <w:style w:type="character" w:styleId="956" w:customStyle="1">
    <w:name w:val="WW8Num14z2"/>
    <w:qFormat/>
    <w:rPr>
      <w:rFonts w:ascii="Wingdings" w:hAnsi="Wingdings"/>
    </w:rPr>
  </w:style>
  <w:style w:type="character" w:styleId="957" w:customStyle="1">
    <w:name w:val="WW8Num14z3"/>
    <w:qFormat/>
    <w:rPr>
      <w:rFonts w:ascii="Symbol" w:hAnsi="Symbol"/>
    </w:rPr>
  </w:style>
  <w:style w:type="character" w:styleId="958" w:customStyle="1">
    <w:name w:val="WW8Num15z0"/>
    <w:qFormat/>
  </w:style>
  <w:style w:type="character" w:styleId="959" w:customStyle="1">
    <w:name w:val="WW8Num16z0"/>
    <w:qFormat/>
  </w:style>
  <w:style w:type="character" w:styleId="960" w:customStyle="1">
    <w:name w:val="WW8Num16z1"/>
    <w:qFormat/>
  </w:style>
  <w:style w:type="character" w:styleId="961" w:customStyle="1">
    <w:name w:val="WW8Num17z0"/>
    <w:qFormat/>
    <w:rPr>
      <w:sz w:val="28"/>
    </w:rPr>
  </w:style>
  <w:style w:type="character" w:styleId="962" w:customStyle="1">
    <w:name w:val="WW8Num17z1"/>
    <w:qFormat/>
  </w:style>
  <w:style w:type="character" w:styleId="963" w:customStyle="1">
    <w:name w:val="WW8Num18z0"/>
    <w:qFormat/>
    <w:rPr>
      <w:rFonts w:ascii="Times New Roman CYR" w:hAnsi="Times New Roman CYR"/>
    </w:rPr>
  </w:style>
  <w:style w:type="character" w:styleId="964" w:customStyle="1">
    <w:name w:val="WW8Num19z0"/>
    <w:qFormat/>
  </w:style>
  <w:style w:type="character" w:styleId="965" w:customStyle="1">
    <w:name w:val="WW8Num20z0"/>
    <w:qFormat/>
    <w:rPr>
      <w:rFonts w:ascii="Times New Roman CYR" w:hAnsi="Times New Roman CYR"/>
    </w:rPr>
  </w:style>
  <w:style w:type="character" w:styleId="966" w:customStyle="1">
    <w:name w:val="WW8Num21z0"/>
    <w:qFormat/>
  </w:style>
  <w:style w:type="character" w:styleId="967" w:customStyle="1">
    <w:name w:val="WW8Num21z1"/>
    <w:qFormat/>
  </w:style>
  <w:style w:type="character" w:styleId="968" w:customStyle="1">
    <w:name w:val="WW8Num22z0"/>
    <w:qFormat/>
    <w:rPr>
      <w:rFonts w:ascii="Times New Roman CYR" w:hAnsi="Times New Roman CYR"/>
    </w:rPr>
  </w:style>
  <w:style w:type="character" w:styleId="969" w:customStyle="1">
    <w:name w:val="WW8Num23z0"/>
    <w:qFormat/>
    <w:rPr>
      <w:rFonts w:ascii="Times New Roman CYR" w:hAnsi="Times New Roman CYR"/>
    </w:rPr>
  </w:style>
  <w:style w:type="character" w:styleId="970" w:customStyle="1">
    <w:name w:val="WW8Num24z0"/>
    <w:qFormat/>
    <w:rPr>
      <w:rFonts w:ascii="Symbol" w:hAnsi="Symbol"/>
    </w:rPr>
  </w:style>
  <w:style w:type="character" w:styleId="971" w:customStyle="1">
    <w:name w:val="WW8Num24z1"/>
    <w:qFormat/>
    <w:rPr>
      <w:rFonts w:ascii="Courier New" w:hAnsi="Courier New"/>
    </w:rPr>
  </w:style>
  <w:style w:type="character" w:styleId="972" w:customStyle="1">
    <w:name w:val="WW8Num24z2"/>
    <w:qFormat/>
    <w:rPr>
      <w:rFonts w:ascii="Wingdings" w:hAnsi="Wingdings"/>
    </w:rPr>
  </w:style>
  <w:style w:type="character" w:styleId="973" w:customStyle="1">
    <w:name w:val="WW8Num24z3"/>
    <w:qFormat/>
    <w:rPr>
      <w:rFonts w:ascii="Symbol" w:hAnsi="Symbol"/>
    </w:rPr>
  </w:style>
  <w:style w:type="character" w:styleId="974" w:customStyle="1">
    <w:name w:val="WW8Num25z0"/>
    <w:qFormat/>
  </w:style>
  <w:style w:type="character" w:styleId="975" w:customStyle="1">
    <w:name w:val="WW8Num25z1"/>
    <w:qFormat/>
  </w:style>
  <w:style w:type="character" w:styleId="976" w:customStyle="1">
    <w:name w:val="WW8Num26z0"/>
    <w:qFormat/>
    <w:rPr>
      <w:sz w:val="28"/>
    </w:rPr>
  </w:style>
  <w:style w:type="character" w:styleId="977" w:customStyle="1">
    <w:name w:val="WW8Num26z1"/>
    <w:qFormat/>
  </w:style>
  <w:style w:type="character" w:styleId="978" w:customStyle="1">
    <w:name w:val="WW8Num27z0"/>
    <w:qFormat/>
    <w:rPr>
      <w:rFonts w:ascii="Times New Roman CYR" w:hAnsi="Times New Roman CYR"/>
    </w:rPr>
  </w:style>
  <w:style w:type="character" w:styleId="979" w:customStyle="1">
    <w:name w:val="WW8Num28z0"/>
    <w:qFormat/>
  </w:style>
  <w:style w:type="character" w:styleId="980" w:customStyle="1">
    <w:name w:val="WW8Num28z1"/>
    <w:qFormat/>
  </w:style>
  <w:style w:type="character" w:styleId="981" w:customStyle="1">
    <w:name w:val="Заголовок 2 Знак"/>
    <w:basedOn w:val="738"/>
    <w:qFormat/>
    <w:rPr>
      <w:rFonts w:ascii="Cambria" w:hAnsi="Cambria" w:cs="Times New Roman"/>
      <w:b/>
      <w:bCs/>
      <w:i/>
      <w:iCs/>
      <w:sz w:val="28"/>
      <w:szCs w:val="28"/>
    </w:rPr>
  </w:style>
  <w:style w:type="character" w:styleId="982" w:customStyle="1">
    <w:name w:val="Заголовок 3 Знак"/>
    <w:basedOn w:val="738"/>
    <w:qFormat/>
    <w:rPr>
      <w:rFonts w:ascii="Times New Roman" w:hAnsi="Times New Roman" w:cs="Times New Roman"/>
      <w:b/>
      <w:caps/>
      <w:sz w:val="22"/>
    </w:rPr>
  </w:style>
  <w:style w:type="character" w:styleId="983" w:customStyle="1">
    <w:name w:val="Заголовок 4 Знак"/>
    <w:basedOn w:val="738"/>
    <w:qFormat/>
    <w:rPr>
      <w:rFonts w:ascii="Calibri" w:hAnsi="Calibri" w:cs="Times New Roman"/>
      <w:b/>
      <w:bCs/>
      <w:sz w:val="28"/>
      <w:szCs w:val="28"/>
    </w:rPr>
  </w:style>
  <w:style w:type="character" w:styleId="984" w:customStyle="1">
    <w:name w:val="Текст сноски Знак"/>
    <w:basedOn w:val="738"/>
    <w:qFormat/>
    <w:rPr>
      <w:rFonts w:ascii="Times New Roman" w:hAnsi="Times New Roman" w:cs="Times New Roman"/>
      <w:sz w:val="22"/>
      <w:szCs w:val="22"/>
    </w:rPr>
  </w:style>
  <w:style w:type="character" w:styleId="985" w:customStyle="1">
    <w:name w:val="Footnote Characters"/>
    <w:basedOn w:val="738"/>
    <w:qFormat/>
    <w:rPr>
      <w:rFonts w:cs="Times New Roman"/>
      <w:caps/>
      <w:sz w:val="28"/>
      <w:szCs w:val="28"/>
      <w:vertAlign w:val="superscript"/>
    </w:rPr>
  </w:style>
  <w:style w:type="character" w:styleId="986" w:customStyle="1">
    <w:name w:val="Основной текст Знак"/>
    <w:basedOn w:val="738"/>
    <w:qFormat/>
    <w:rPr>
      <w:rFonts w:ascii="Times New Roman CYR" w:hAnsi="Times New Roman CYR" w:cs="Times New Roman"/>
      <w:b/>
      <w:sz w:val="34"/>
    </w:rPr>
  </w:style>
  <w:style w:type="character" w:styleId="987" w:customStyle="1">
    <w:name w:val="Internet Link"/>
    <w:basedOn w:val="738"/>
    <w:rPr>
      <w:rFonts w:cs="Times New Roman"/>
      <w:color w:val="000080"/>
      <w:u w:val="single"/>
    </w:rPr>
  </w:style>
  <w:style w:type="character" w:styleId="988" w:customStyle="1">
    <w:name w:val="Название Знак"/>
    <w:basedOn w:val="738"/>
    <w:qFormat/>
    <w:rPr>
      <w:rFonts w:ascii="Times New Roman" w:hAnsi="Times New Roman" w:cs="Times New Roman"/>
      <w:b/>
      <w:bCs/>
      <w:sz w:val="24"/>
      <w:szCs w:val="24"/>
    </w:rPr>
  </w:style>
  <w:style w:type="character" w:styleId="989" w:customStyle="1">
    <w:name w:val="Текст концевой сноски Знак"/>
    <w:basedOn w:val="738"/>
    <w:qFormat/>
    <w:rPr>
      <w:rFonts w:ascii="Times New Roman" w:hAnsi="Times New Roman" w:cs="Times New Roman"/>
    </w:rPr>
  </w:style>
  <w:style w:type="character" w:styleId="990" w:customStyle="1">
    <w:name w:val="Endnote Characters"/>
    <w:basedOn w:val="738"/>
    <w:qFormat/>
    <w:rPr>
      <w:rFonts w:cs="Times New Roman"/>
      <w:vertAlign w:val="superscript"/>
    </w:rPr>
  </w:style>
  <w:style w:type="character" w:styleId="991" w:customStyle="1">
    <w:name w:val="Основной текст 2 Знак"/>
    <w:basedOn w:val="738"/>
    <w:qFormat/>
    <w:rPr>
      <w:rFonts w:ascii="Times New Roman" w:hAnsi="Times New Roman" w:cs="Times New Roman"/>
    </w:rPr>
  </w:style>
  <w:style w:type="character" w:styleId="992" w:customStyle="1">
    <w:name w:val="Текст Знак"/>
    <w:basedOn w:val="738"/>
    <w:qFormat/>
    <w:rPr>
      <w:rFonts w:ascii="Courier New" w:hAnsi="Courier New" w:cs="Courier New"/>
    </w:rPr>
  </w:style>
  <w:style w:type="character" w:styleId="993" w:customStyle="1">
    <w:name w:val="Основной текст 3 Знак"/>
    <w:basedOn w:val="738"/>
    <w:qFormat/>
    <w:rPr>
      <w:rFonts w:ascii="Times New Roman" w:hAnsi="Times New Roman" w:cs="Times New Roman"/>
      <w:sz w:val="16"/>
      <w:szCs w:val="16"/>
    </w:rPr>
  </w:style>
  <w:style w:type="character" w:styleId="994" w:customStyle="1">
    <w:name w:val="Номер страницы1"/>
    <w:basedOn w:val="738"/>
    <w:rPr>
      <w:rFonts w:ascii="Times New Roman" w:hAnsi="Times New Roman" w:cs="Times New Roman"/>
      <w:sz w:val="24"/>
    </w:rPr>
  </w:style>
  <w:style w:type="character" w:styleId="995" w:customStyle="1">
    <w:name w:val="Основной текст с отступом 3 Знак"/>
    <w:basedOn w:val="738"/>
    <w:qFormat/>
    <w:rPr>
      <w:rFonts w:ascii="Times New Roman" w:hAnsi="Times New Roman" w:cs="Times New Roman"/>
      <w:sz w:val="16"/>
      <w:szCs w:val="16"/>
    </w:rPr>
  </w:style>
  <w:style w:type="character" w:styleId="996" w:customStyle="1">
    <w:name w:val="Схема документа Знак"/>
    <w:basedOn w:val="738"/>
    <w:qFormat/>
    <w:rPr>
      <w:rFonts w:ascii="Tahoma" w:hAnsi="Tahoma" w:cs="Tahoma"/>
      <w:sz w:val="16"/>
      <w:szCs w:val="16"/>
    </w:rPr>
  </w:style>
  <w:style w:type="character" w:styleId="997" w:customStyle="1">
    <w:name w:val="Footnote Anchor"/>
    <w:rPr>
      <w:vertAlign w:val="superscript"/>
    </w:rPr>
  </w:style>
  <w:style w:type="character" w:styleId="998" w:customStyle="1">
    <w:name w:val="Endnote Anchor"/>
    <w:rPr>
      <w:vertAlign w:val="superscript"/>
    </w:rPr>
  </w:style>
  <w:style w:type="paragraph" w:styleId="999" w:customStyle="1">
    <w:name w:val="Heading"/>
    <w:basedOn w:val="737"/>
    <w:next w:val="1000"/>
    <w:qFormat/>
    <w:pPr>
      <w:jc w:val="center"/>
    </w:pPr>
    <w:rPr>
      <w:b/>
      <w:bCs/>
      <w:sz w:val="28"/>
      <w:lang w:eastAsia="zh-CN"/>
    </w:rPr>
  </w:style>
  <w:style w:type="paragraph" w:styleId="1000">
    <w:name w:val="Body Text"/>
    <w:basedOn w:val="737"/>
    <w:link w:val="1001"/>
    <w:pPr>
      <w:jc w:val="center"/>
    </w:pPr>
    <w:rPr>
      <w:rFonts w:ascii="Times New Roman CYR" w:hAnsi="Times New Roman CYR" w:cs="Times New Roman CYR"/>
      <w:b/>
      <w:sz w:val="34"/>
      <w:szCs w:val="20"/>
      <w:lang w:eastAsia="zh-CN"/>
    </w:rPr>
  </w:style>
  <w:style w:type="character" w:styleId="1001" w:customStyle="1">
    <w:name w:val="Основной текст Знак1"/>
    <w:basedOn w:val="738"/>
    <w:link w:val="1000"/>
    <w:rPr>
      <w:rFonts w:ascii="Times New Roman CYR" w:hAnsi="Times New Roman CYR" w:cs="Times New Roman CYR"/>
      <w:b/>
      <w:sz w:val="20"/>
      <w:szCs w:val="20"/>
      <w:lang w:eastAsia="zh-CN"/>
    </w:rPr>
  </w:style>
  <w:style w:type="paragraph" w:styleId="1002">
    <w:name w:val="List"/>
    <w:basedOn w:val="1000"/>
  </w:style>
  <w:style w:type="paragraph" w:styleId="1003" w:customStyle="1">
    <w:name w:val="Название объекта1"/>
    <w:basedOn w:val="737"/>
    <w:qFormat/>
    <w:pPr>
      <w:suppressLineNumbers/>
      <w:spacing w:before="120" w:after="120"/>
    </w:pPr>
    <w:rPr>
      <w:i/>
      <w:iCs/>
      <w:lang w:eastAsia="zh-CN"/>
    </w:rPr>
  </w:style>
  <w:style w:type="paragraph" w:styleId="1004" w:customStyle="1">
    <w:name w:val="Index"/>
    <w:basedOn w:val="737"/>
    <w:qFormat/>
    <w:pPr>
      <w:suppressLineNumbers/>
    </w:pPr>
    <w:rPr>
      <w:lang w:eastAsia="zh-CN"/>
    </w:rPr>
  </w:style>
  <w:style w:type="paragraph" w:styleId="1005">
    <w:name w:val="List Paragraph"/>
    <w:basedOn w:val="737"/>
    <w:qFormat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  <w:lang w:eastAsia="zh-CN"/>
    </w:rPr>
  </w:style>
  <w:style w:type="paragraph" w:styleId="1006" w:customStyle="1">
    <w:name w:val="заголовок 7"/>
    <w:basedOn w:val="737"/>
    <w:next w:val="737"/>
    <w:qFormat/>
    <w:pPr>
      <w:keepNext/>
      <w:widowControl w:val="off"/>
      <w:jc w:val="center"/>
    </w:pPr>
    <w:rPr>
      <w:b/>
      <w:bCs/>
      <w:sz w:val="28"/>
      <w:szCs w:val="28"/>
      <w:lang w:eastAsia="zh-CN"/>
    </w:rPr>
  </w:style>
  <w:style w:type="paragraph" w:styleId="1007" w:customStyle="1">
    <w:name w:val="Верхний колонтитул1"/>
    <w:basedOn w:val="737"/>
    <w:pPr>
      <w:widowControl w:val="off"/>
    </w:pPr>
    <w:rPr>
      <w:sz w:val="20"/>
      <w:szCs w:val="20"/>
      <w:lang w:eastAsia="zh-CN"/>
    </w:rPr>
  </w:style>
  <w:style w:type="paragraph" w:styleId="1008" w:customStyle="1">
    <w:name w:val="Нижний колонтитул1"/>
    <w:basedOn w:val="737"/>
    <w:pPr>
      <w:widowControl w:val="off"/>
    </w:pPr>
    <w:rPr>
      <w:sz w:val="20"/>
      <w:szCs w:val="20"/>
      <w:lang w:eastAsia="zh-CN"/>
    </w:rPr>
  </w:style>
  <w:style w:type="character" w:styleId="1009" w:customStyle="1">
    <w:name w:val="Текст выноски Знак1"/>
    <w:basedOn w:val="738"/>
    <w:rPr>
      <w:rFonts w:ascii="Tahoma" w:hAnsi="Tahoma" w:cs="Tahoma"/>
      <w:sz w:val="16"/>
      <w:szCs w:val="16"/>
      <w:lang w:val="ru-RU" w:bidi="ar-SA"/>
    </w:rPr>
  </w:style>
  <w:style w:type="paragraph" w:styleId="1010" w:customStyle="1">
    <w:name w:val="Текст сноски1"/>
    <w:basedOn w:val="737"/>
    <w:pPr>
      <w:widowControl w:val="off"/>
      <w:spacing w:after="120"/>
      <w:jc w:val="both"/>
    </w:pPr>
    <w:rPr>
      <w:sz w:val="22"/>
      <w:szCs w:val="22"/>
      <w:lang w:eastAsia="zh-CN"/>
    </w:rPr>
  </w:style>
  <w:style w:type="paragraph" w:styleId="1011" w:customStyle="1">
    <w:name w:val="Норм"/>
    <w:basedOn w:val="737"/>
    <w:qFormat/>
    <w:pPr>
      <w:jc w:val="center"/>
    </w:pPr>
    <w:rPr>
      <w:sz w:val="28"/>
      <w:lang w:eastAsia="zh-CN"/>
    </w:rPr>
  </w:style>
  <w:style w:type="paragraph" w:styleId="1012" w:customStyle="1">
    <w:name w:val="Обычный1"/>
    <w:qFormat/>
    <w:pPr>
      <w:spacing w:before="100" w:after="100" w:line="240" w:lineRule="auto"/>
    </w:pPr>
    <w:rPr>
      <w:rFonts w:ascii="Times New Roman" w:hAnsi="Times New Roman" w:cs="Times New Roman"/>
      <w:sz w:val="24"/>
      <w:szCs w:val="20"/>
      <w:lang w:eastAsia="zh-CN"/>
    </w:rPr>
  </w:style>
  <w:style w:type="paragraph" w:styleId="1013" w:customStyle="1">
    <w:name w:val="Т-1"/>
    <w:basedOn w:val="737"/>
    <w:uiPriority w:val="99"/>
    <w:qFormat/>
    <w:pPr>
      <w:spacing w:line="360" w:lineRule="auto"/>
      <w:ind w:firstLine="720"/>
      <w:jc w:val="both"/>
    </w:pPr>
    <w:rPr>
      <w:sz w:val="28"/>
      <w:szCs w:val="20"/>
      <w:lang w:eastAsia="zh-CN"/>
    </w:rPr>
  </w:style>
  <w:style w:type="paragraph" w:styleId="1014" w:customStyle="1">
    <w:name w:val="Текст концевой сноски1"/>
    <w:basedOn w:val="737"/>
    <w:pPr>
      <w:widowControl w:val="off"/>
    </w:pPr>
    <w:rPr>
      <w:sz w:val="20"/>
      <w:szCs w:val="20"/>
      <w:lang w:eastAsia="zh-CN"/>
    </w:rPr>
  </w:style>
  <w:style w:type="paragraph" w:styleId="1015" w:customStyle="1">
    <w:name w:val="T-1.5"/>
    <w:basedOn w:val="737"/>
    <w:qFormat/>
    <w:pPr>
      <w:spacing w:line="360" w:lineRule="auto"/>
      <w:ind w:firstLine="720"/>
      <w:jc w:val="both"/>
    </w:pPr>
    <w:rPr>
      <w:sz w:val="28"/>
      <w:szCs w:val="28"/>
      <w:lang w:eastAsia="zh-CN"/>
    </w:rPr>
  </w:style>
  <w:style w:type="paragraph" w:styleId="1016">
    <w:name w:val="Body Text 2"/>
    <w:basedOn w:val="737"/>
    <w:link w:val="1017"/>
    <w:qFormat/>
    <w:pPr>
      <w:widowControl w:val="off"/>
      <w:spacing w:after="120" w:line="480" w:lineRule="auto"/>
    </w:pPr>
    <w:rPr>
      <w:sz w:val="20"/>
      <w:szCs w:val="20"/>
      <w:lang w:eastAsia="zh-CN"/>
    </w:rPr>
  </w:style>
  <w:style w:type="character" w:styleId="1017" w:customStyle="1">
    <w:name w:val="Основной текст 2 Знак1"/>
    <w:basedOn w:val="738"/>
    <w:link w:val="1016"/>
    <w:rPr>
      <w:rFonts w:ascii="Times New Roman" w:hAnsi="Times New Roman" w:cs="Times New Roman"/>
      <w:sz w:val="20"/>
      <w:szCs w:val="20"/>
      <w:lang w:eastAsia="zh-CN"/>
    </w:rPr>
  </w:style>
  <w:style w:type="paragraph" w:styleId="1018">
    <w:name w:val="Plain Text"/>
    <w:basedOn w:val="737"/>
    <w:link w:val="1019"/>
    <w:qFormat/>
    <w:pPr>
      <w:widowControl w:val="off"/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eastAsia="zh-CN"/>
    </w:rPr>
  </w:style>
  <w:style w:type="character" w:styleId="1019" w:customStyle="1">
    <w:name w:val="Текст Знак1"/>
    <w:basedOn w:val="738"/>
    <w:link w:val="1018"/>
    <w:rPr>
      <w:rFonts w:ascii="Courier New" w:hAnsi="Courier New" w:cs="Courier New"/>
      <w:sz w:val="20"/>
      <w:szCs w:val="20"/>
      <w:lang w:eastAsia="zh-CN"/>
    </w:rPr>
  </w:style>
  <w:style w:type="paragraph" w:styleId="1020" w:customStyle="1">
    <w:name w:val="Абзац списка1"/>
    <w:basedOn w:val="737"/>
    <w:qFormat/>
    <w:pPr>
      <w:ind w:left="720"/>
      <w:contextualSpacing/>
    </w:pPr>
    <w:rPr>
      <w:lang w:eastAsia="zh-CN"/>
    </w:rPr>
  </w:style>
  <w:style w:type="paragraph" w:styleId="1021">
    <w:name w:val="Normal (Web)"/>
    <w:basedOn w:val="737"/>
    <w:uiPriority w:val="99"/>
    <w:qFormat/>
    <w:pPr>
      <w:spacing w:before="280" w:after="280"/>
    </w:pPr>
    <w:rPr>
      <w:lang w:eastAsia="zh-CN"/>
    </w:rPr>
  </w:style>
  <w:style w:type="paragraph" w:styleId="1022">
    <w:name w:val="Body Text 3"/>
    <w:basedOn w:val="737"/>
    <w:link w:val="1023"/>
    <w:qFormat/>
    <w:pPr>
      <w:spacing w:after="120"/>
    </w:pPr>
    <w:rPr>
      <w:sz w:val="16"/>
      <w:szCs w:val="16"/>
      <w:lang w:eastAsia="zh-CN"/>
    </w:rPr>
  </w:style>
  <w:style w:type="character" w:styleId="1023" w:customStyle="1">
    <w:name w:val="Основной текст 3 Знак1"/>
    <w:basedOn w:val="738"/>
    <w:link w:val="1022"/>
    <w:rPr>
      <w:rFonts w:ascii="Times New Roman" w:hAnsi="Times New Roman" w:cs="Times New Roman"/>
      <w:sz w:val="16"/>
      <w:szCs w:val="16"/>
      <w:lang w:eastAsia="zh-CN"/>
    </w:rPr>
  </w:style>
  <w:style w:type="paragraph" w:styleId="1024" w:customStyle="1">
    <w:name w:val="Загл.14"/>
    <w:basedOn w:val="737"/>
    <w:qFormat/>
    <w:pPr>
      <w:jc w:val="center"/>
    </w:pPr>
    <w:rPr>
      <w:rFonts w:ascii="Times New Roman CYR" w:hAnsi="Times New Roman CYR" w:cs="Times New Roman CYR"/>
      <w:b/>
      <w:bCs/>
      <w:sz w:val="28"/>
      <w:szCs w:val="28"/>
      <w:lang w:eastAsia="zh-CN"/>
    </w:rPr>
  </w:style>
  <w:style w:type="paragraph" w:styleId="1025" w:customStyle="1">
    <w:name w:val="Post"/>
    <w:basedOn w:val="737"/>
    <w:qFormat/>
    <w:pPr>
      <w:jc w:val="center"/>
    </w:pPr>
    <w:rPr>
      <w:sz w:val="28"/>
      <w:szCs w:val="28"/>
      <w:lang w:eastAsia="zh-CN"/>
    </w:rPr>
  </w:style>
  <w:style w:type="paragraph" w:styleId="1026" w:customStyle="1">
    <w:name w:val="Signatur"/>
    <w:basedOn w:val="737"/>
    <w:qFormat/>
    <w:pPr>
      <w:spacing w:before="480"/>
      <w:jc w:val="right"/>
    </w:pPr>
    <w:rPr>
      <w:sz w:val="28"/>
      <w:szCs w:val="28"/>
      <w:lang w:eastAsia="zh-CN"/>
    </w:rPr>
  </w:style>
  <w:style w:type="paragraph" w:styleId="1027">
    <w:name w:val="Body Text Indent 3"/>
    <w:basedOn w:val="737"/>
    <w:link w:val="1028"/>
    <w:qFormat/>
    <w:pPr>
      <w:spacing w:after="120"/>
      <w:ind w:left="283" w:firstLine="720"/>
      <w:jc w:val="both"/>
    </w:pPr>
    <w:rPr>
      <w:sz w:val="16"/>
      <w:szCs w:val="16"/>
      <w:lang w:eastAsia="zh-CN"/>
    </w:rPr>
  </w:style>
  <w:style w:type="character" w:styleId="1028" w:customStyle="1">
    <w:name w:val="Основной текст с отступом 3 Знак1"/>
    <w:basedOn w:val="738"/>
    <w:link w:val="1027"/>
    <w:rPr>
      <w:rFonts w:ascii="Times New Roman" w:hAnsi="Times New Roman" w:cs="Times New Roman"/>
      <w:sz w:val="16"/>
      <w:szCs w:val="16"/>
      <w:lang w:eastAsia="zh-CN"/>
    </w:rPr>
  </w:style>
  <w:style w:type="paragraph" w:styleId="1029" w:customStyle="1">
    <w:name w:val="текст14-15"/>
    <w:basedOn w:val="737"/>
    <w:qFormat/>
    <w:pPr>
      <w:widowControl w:val="off"/>
      <w:spacing w:line="360" w:lineRule="auto"/>
      <w:ind w:firstLine="709"/>
      <w:jc w:val="both"/>
    </w:pPr>
    <w:rPr>
      <w:sz w:val="28"/>
      <w:szCs w:val="28"/>
      <w:lang w:eastAsia="zh-CN"/>
    </w:rPr>
  </w:style>
  <w:style w:type="paragraph" w:styleId="1030" w:customStyle="1">
    <w:name w:val="заголовок 1"/>
    <w:basedOn w:val="737"/>
    <w:next w:val="737"/>
    <w:qFormat/>
    <w:pPr>
      <w:keepNext/>
      <w:widowControl w:val="off"/>
    </w:pPr>
    <w:rPr>
      <w:sz w:val="28"/>
      <w:szCs w:val="28"/>
      <w:lang w:eastAsia="zh-CN"/>
    </w:rPr>
  </w:style>
  <w:style w:type="paragraph" w:styleId="1031" w:customStyle="1">
    <w:name w:val="заголовок 2"/>
    <w:basedOn w:val="737"/>
    <w:next w:val="737"/>
    <w:qFormat/>
    <w:pPr>
      <w:keepNext/>
      <w:widowControl w:val="off"/>
      <w:spacing w:line="360" w:lineRule="auto"/>
      <w:jc w:val="center"/>
    </w:pPr>
    <w:rPr>
      <w:sz w:val="28"/>
      <w:szCs w:val="28"/>
      <w:lang w:eastAsia="zh-CN"/>
    </w:rPr>
  </w:style>
  <w:style w:type="paragraph" w:styleId="1032" w:customStyle="1">
    <w:name w:val="заголовок 3"/>
    <w:basedOn w:val="737"/>
    <w:next w:val="737"/>
    <w:qFormat/>
    <w:pPr>
      <w:keepNext/>
      <w:widowControl w:val="off"/>
      <w:jc w:val="center"/>
    </w:pPr>
    <w:rPr>
      <w:b/>
      <w:bCs/>
      <w:lang w:eastAsia="zh-CN"/>
    </w:rPr>
  </w:style>
  <w:style w:type="paragraph" w:styleId="1033" w:customStyle="1">
    <w:name w:val="заголовок 6"/>
    <w:basedOn w:val="737"/>
    <w:next w:val="737"/>
    <w:qFormat/>
    <w:pPr>
      <w:keepNext/>
      <w:widowControl w:val="off"/>
      <w:ind w:left="3600"/>
      <w:jc w:val="center"/>
    </w:pPr>
    <w:rPr>
      <w:lang w:eastAsia="zh-CN"/>
    </w:rPr>
  </w:style>
  <w:style w:type="paragraph" w:styleId="1034" w:customStyle="1">
    <w:name w:val="Текст 14-15"/>
    <w:basedOn w:val="737"/>
    <w:qFormat/>
    <w:pPr>
      <w:spacing w:line="360" w:lineRule="auto"/>
      <w:ind w:firstLine="720"/>
      <w:jc w:val="both"/>
    </w:pPr>
    <w:rPr>
      <w:sz w:val="28"/>
      <w:szCs w:val="28"/>
      <w:lang w:eastAsia="zh-CN"/>
    </w:rPr>
  </w:style>
  <w:style w:type="paragraph" w:styleId="1035" w:customStyle="1">
    <w:name w:val="заголовок 5"/>
    <w:basedOn w:val="737"/>
    <w:next w:val="737"/>
    <w:qFormat/>
    <w:pPr>
      <w:keepNext/>
      <w:jc w:val="right"/>
      <w:outlineLvl w:val="4"/>
    </w:pPr>
    <w:rPr>
      <w:sz w:val="34"/>
      <w:szCs w:val="34"/>
      <w:lang w:eastAsia="zh-CN"/>
    </w:rPr>
  </w:style>
  <w:style w:type="paragraph" w:styleId="1036" w:customStyle="1">
    <w:name w:val="содержание2-11"/>
    <w:basedOn w:val="737"/>
    <w:qFormat/>
    <w:pPr>
      <w:spacing w:after="60"/>
      <w:jc w:val="both"/>
    </w:pPr>
    <w:rPr>
      <w:lang w:eastAsia="zh-CN"/>
    </w:rPr>
  </w:style>
  <w:style w:type="paragraph" w:styleId="1037" w:customStyle="1">
    <w:name w:val="Знак Знак Знак1 Знак Знак Знак Знак"/>
    <w:basedOn w:val="737"/>
    <w:qFormat/>
    <w:pPr>
      <w:spacing w:before="280" w:after="280"/>
    </w:pPr>
    <w:rPr>
      <w:rFonts w:ascii="Tahoma" w:hAnsi="Tahoma" w:cs="Tahoma"/>
      <w:sz w:val="20"/>
      <w:szCs w:val="20"/>
      <w:lang w:val="en-US" w:eastAsia="zh-CN"/>
    </w:rPr>
  </w:style>
  <w:style w:type="paragraph" w:styleId="1038">
    <w:name w:val="Document Map"/>
    <w:basedOn w:val="737"/>
    <w:link w:val="1039"/>
    <w:qFormat/>
    <w:rPr>
      <w:rFonts w:ascii="Tahoma" w:hAnsi="Tahoma" w:cs="Tahoma"/>
      <w:sz w:val="16"/>
      <w:szCs w:val="16"/>
      <w:lang w:eastAsia="zh-CN"/>
    </w:rPr>
  </w:style>
  <w:style w:type="character" w:styleId="1039" w:customStyle="1">
    <w:name w:val="Схема документа Знак1"/>
    <w:basedOn w:val="738"/>
    <w:link w:val="1038"/>
    <w:rPr>
      <w:rFonts w:ascii="Tahoma" w:hAnsi="Tahoma" w:cs="Tahoma"/>
      <w:sz w:val="16"/>
      <w:szCs w:val="16"/>
      <w:lang w:eastAsia="zh-CN"/>
    </w:rPr>
  </w:style>
  <w:style w:type="paragraph" w:styleId="1040">
    <w:name w:val="Revision"/>
    <w:qFormat/>
    <w:pPr>
      <w:spacing w:after="0" w:line="240" w:lineRule="auto"/>
    </w:pPr>
    <w:rPr>
      <w:rFonts w:ascii="Times New Roman" w:hAnsi="Times New Roman" w:cs="Times New Roman"/>
      <w:sz w:val="20"/>
      <w:szCs w:val="20"/>
      <w:lang w:eastAsia="zh-CN"/>
    </w:rPr>
  </w:style>
  <w:style w:type="paragraph" w:styleId="1041" w:customStyle="1">
    <w:name w:val="ConsTitle"/>
    <w:qFormat/>
    <w:pPr>
      <w:widowControl w:val="off"/>
      <w:spacing w:after="0" w:line="240" w:lineRule="auto"/>
    </w:pPr>
    <w:rPr>
      <w:rFonts w:ascii="Arial" w:hAnsi="Arial" w:cs="Arial"/>
      <w:b/>
      <w:bCs/>
      <w:sz w:val="16"/>
      <w:szCs w:val="16"/>
      <w:lang w:eastAsia="zh-CN"/>
    </w:rPr>
  </w:style>
  <w:style w:type="paragraph" w:styleId="1042" w:customStyle="1">
    <w:name w:val="текст14.5"/>
    <w:basedOn w:val="737"/>
    <w:qFormat/>
    <w:pPr>
      <w:spacing w:line="360" w:lineRule="auto"/>
      <w:ind w:firstLine="720"/>
      <w:jc w:val="both"/>
    </w:pPr>
    <w:rPr>
      <w:sz w:val="28"/>
      <w:szCs w:val="28"/>
      <w:lang w:eastAsia="zh-CN"/>
    </w:rPr>
  </w:style>
  <w:style w:type="paragraph" w:styleId="1043" w:customStyle="1">
    <w:name w:val="Основной текст 21"/>
    <w:basedOn w:val="737"/>
    <w:qFormat/>
    <w:pPr>
      <w:ind w:firstLine="540"/>
      <w:jc w:val="both"/>
    </w:pPr>
    <w:rPr>
      <w:sz w:val="28"/>
      <w:szCs w:val="20"/>
      <w:lang w:eastAsia="zh-CN"/>
    </w:rPr>
  </w:style>
  <w:style w:type="paragraph" w:styleId="1044" w:customStyle="1">
    <w:name w:val="Table Contents"/>
    <w:basedOn w:val="737"/>
    <w:qFormat/>
    <w:pPr>
      <w:suppressLineNumbers/>
    </w:pPr>
    <w:rPr>
      <w:lang w:eastAsia="zh-CN"/>
    </w:rPr>
  </w:style>
  <w:style w:type="paragraph" w:styleId="1045" w:customStyle="1">
    <w:name w:val="Table Heading"/>
    <w:basedOn w:val="1044"/>
    <w:qFormat/>
    <w:pPr>
      <w:jc w:val="center"/>
    </w:pPr>
    <w:rPr>
      <w:b/>
      <w:bCs/>
    </w:rPr>
  </w:style>
  <w:style w:type="paragraph" w:styleId="1046" w:customStyle="1">
    <w:name w:val="Frame Contents"/>
    <w:basedOn w:val="737"/>
    <w:qFormat/>
    <w:rPr>
      <w:lang w:eastAsia="zh-CN"/>
    </w:rPr>
  </w:style>
  <w:style w:type="character" w:styleId="1047" w:customStyle="1">
    <w:name w:val="Верхний колонтитул Знак1"/>
    <w:basedOn w:val="738"/>
    <w:rPr>
      <w:rFonts w:ascii="Times New Roman" w:hAnsi="Times New Roman" w:cs="Times New Roman"/>
      <w:sz w:val="28"/>
    </w:rPr>
  </w:style>
  <w:style w:type="paragraph" w:styleId="1048" w:customStyle="1">
    <w:name w:val="ConsPlusTitle"/>
    <w:pPr>
      <w:widowControl w:val="off"/>
      <w:spacing w:after="0" w:line="360" w:lineRule="auto"/>
      <w:jc w:val="both"/>
    </w:pPr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1049" w:customStyle="1">
    <w:name w:val="oaeno14-15"/>
    <w:basedOn w:val="737"/>
    <w:pPr>
      <w:spacing w:line="360" w:lineRule="auto"/>
      <w:ind w:firstLine="709"/>
      <w:jc w:val="both"/>
    </w:pPr>
    <w:rPr>
      <w:sz w:val="28"/>
      <w:szCs w:val="28"/>
    </w:rPr>
  </w:style>
  <w:style w:type="paragraph" w:styleId="1050">
    <w:name w:val="endnote text"/>
    <w:basedOn w:val="737"/>
    <w:link w:val="1051"/>
    <w:uiPriority w:val="99"/>
    <w:semiHidden/>
    <w:unhideWhenUsed/>
    <w:rPr>
      <w:sz w:val="20"/>
      <w:szCs w:val="20"/>
    </w:rPr>
  </w:style>
  <w:style w:type="character" w:styleId="1051" w:customStyle="1">
    <w:name w:val="Текст концевой сноски Знак1"/>
    <w:basedOn w:val="738"/>
    <w:link w:val="1050"/>
    <w:uiPriority w:val="99"/>
    <w:semiHidden/>
    <w:rPr>
      <w:rFonts w:ascii="Times New Roman" w:hAnsi="Times New Roman" w:cs="Times New Roman"/>
      <w:sz w:val="20"/>
      <w:szCs w:val="20"/>
      <w:lang w:eastAsia="ru-RU"/>
    </w:rPr>
  </w:style>
  <w:style w:type="character" w:styleId="1052">
    <w:name w:val="endnote reference"/>
    <w:basedOn w:val="738"/>
    <w:uiPriority w:val="99"/>
    <w:semiHidden/>
    <w:unhideWhenUsed/>
    <w:rPr>
      <w:rFonts w:cs="Times New Roman"/>
      <w:vertAlign w:val="superscript"/>
    </w:rPr>
  </w:style>
  <w:style w:type="paragraph" w:styleId="1053">
    <w:name w:val="footnote text"/>
    <w:basedOn w:val="737"/>
    <w:link w:val="1054"/>
    <w:uiPriority w:val="99"/>
    <w:semiHidden/>
    <w:unhideWhenUsed/>
    <w:rPr>
      <w:sz w:val="20"/>
      <w:szCs w:val="20"/>
    </w:rPr>
  </w:style>
  <w:style w:type="character" w:styleId="1054" w:customStyle="1">
    <w:name w:val="Текст сноски Знак1"/>
    <w:basedOn w:val="738"/>
    <w:link w:val="1053"/>
    <w:uiPriority w:val="99"/>
    <w:semiHidden/>
    <w:rPr>
      <w:rFonts w:ascii="Times New Roman" w:hAnsi="Times New Roman" w:cs="Times New Roman"/>
      <w:sz w:val="20"/>
      <w:szCs w:val="20"/>
      <w:lang w:eastAsia="ru-RU"/>
    </w:rPr>
  </w:style>
  <w:style w:type="character" w:styleId="1055">
    <w:name w:val="footnote reference"/>
    <w:basedOn w:val="738"/>
    <w:uiPriority w:val="99"/>
    <w:semiHidden/>
    <w:unhideWhenUsed/>
    <w:rPr>
      <w:rFonts w:cs="Times New Roman"/>
      <w:vertAlign w:val="superscript"/>
    </w:rPr>
  </w:style>
  <w:style w:type="character" w:styleId="1056">
    <w:name w:val="Strong"/>
    <w:basedOn w:val="738"/>
    <w:uiPriority w:val="22"/>
    <w:qFormat/>
    <w:rPr>
      <w:rFonts w:cs="Times New Roman"/>
      <w:b/>
      <w:bCs/>
    </w:rPr>
  </w:style>
  <w:style w:type="numbering" w:styleId="1057" w:customStyle="1">
    <w:name w:val="WW8Num1"/>
    <w:qFormat/>
  </w:style>
  <w:style w:type="numbering" w:styleId="1058" w:customStyle="1">
    <w:name w:val="WW8Num2"/>
    <w:qFormat/>
  </w:style>
  <w:style w:type="numbering" w:styleId="1059" w:customStyle="1">
    <w:name w:val="WW8Num3"/>
    <w:qFormat/>
  </w:style>
  <w:style w:type="numbering" w:styleId="1060" w:customStyle="1">
    <w:name w:val="WW8Num4"/>
    <w:qFormat/>
  </w:style>
  <w:style w:type="numbering" w:styleId="1061" w:customStyle="1">
    <w:name w:val="WW8Num5"/>
    <w:qFormat/>
  </w:style>
  <w:style w:type="numbering" w:styleId="1062" w:customStyle="1">
    <w:name w:val="WW8Num6"/>
    <w:qFormat/>
  </w:style>
  <w:style w:type="numbering" w:styleId="1063" w:customStyle="1">
    <w:name w:val="WW8Num7"/>
    <w:qFormat/>
  </w:style>
  <w:style w:type="numbering" w:styleId="1064" w:customStyle="1">
    <w:name w:val="WW8Num8"/>
    <w:qFormat/>
  </w:style>
  <w:style w:type="numbering" w:styleId="1065" w:customStyle="1">
    <w:name w:val="WW8Num9"/>
    <w:qFormat/>
  </w:style>
  <w:style w:type="numbering" w:styleId="1066" w:customStyle="1">
    <w:name w:val="WW8Num10"/>
    <w:qFormat/>
  </w:style>
  <w:style w:type="numbering" w:styleId="1067" w:customStyle="1">
    <w:name w:val="WW8Num11"/>
    <w:qFormat/>
  </w:style>
  <w:style w:type="numbering" w:styleId="1068" w:customStyle="1">
    <w:name w:val="WW8Num12"/>
    <w:qFormat/>
  </w:style>
  <w:style w:type="numbering" w:styleId="1069" w:customStyle="1">
    <w:name w:val="WW8Num13"/>
    <w:qFormat/>
  </w:style>
  <w:style w:type="numbering" w:styleId="1070" w:customStyle="1">
    <w:name w:val="WW8Num14"/>
    <w:qFormat/>
  </w:style>
  <w:style w:type="numbering" w:styleId="1071" w:customStyle="1">
    <w:name w:val="WW8Num15"/>
    <w:qFormat/>
  </w:style>
  <w:style w:type="numbering" w:styleId="1072" w:customStyle="1">
    <w:name w:val="WW8Num16"/>
    <w:qFormat/>
  </w:style>
  <w:style w:type="numbering" w:styleId="1073" w:customStyle="1">
    <w:name w:val="WW8Num17"/>
    <w:qFormat/>
  </w:style>
  <w:style w:type="numbering" w:styleId="1074" w:customStyle="1">
    <w:name w:val="WW8Num18"/>
    <w:qFormat/>
  </w:style>
  <w:style w:type="numbering" w:styleId="1075" w:customStyle="1">
    <w:name w:val="WW8Num19"/>
    <w:qFormat/>
  </w:style>
  <w:style w:type="numbering" w:styleId="1076" w:customStyle="1">
    <w:name w:val="WW8Num20"/>
    <w:qFormat/>
  </w:style>
  <w:style w:type="numbering" w:styleId="1077" w:customStyle="1">
    <w:name w:val="WW8Num21"/>
    <w:qFormat/>
  </w:style>
  <w:style w:type="numbering" w:styleId="1078" w:customStyle="1">
    <w:name w:val="WW8Num22"/>
    <w:qFormat/>
  </w:style>
  <w:style w:type="numbering" w:styleId="1079" w:customStyle="1">
    <w:name w:val="WW8Num23"/>
    <w:qFormat/>
  </w:style>
  <w:style w:type="numbering" w:styleId="1080" w:customStyle="1">
    <w:name w:val="WW8Num24"/>
    <w:qFormat/>
  </w:style>
  <w:style w:type="numbering" w:styleId="1081" w:customStyle="1">
    <w:name w:val="WW8Num25"/>
    <w:qFormat/>
  </w:style>
  <w:style w:type="numbering" w:styleId="1082" w:customStyle="1">
    <w:name w:val="WW8Num26"/>
    <w:qFormat/>
  </w:style>
  <w:style w:type="numbering" w:styleId="1083" w:customStyle="1">
    <w:name w:val="WW8Num27"/>
    <w:qFormat/>
  </w:style>
  <w:style w:type="numbering" w:styleId="1084" w:customStyle="1">
    <w:name w:val="WW8Num28"/>
    <w:qFormat/>
  </w:style>
  <w:style w:type="character" w:styleId="1085" w:customStyle="1">
    <w:name w:val="Заголовок 1 Знак1"/>
    <w:basedOn w:val="738"/>
    <w:uiPriority w:val="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  <w:lang w:eastAsia="ru-RU"/>
    </w:rPr>
  </w:style>
  <w:style w:type="character" w:styleId="1086">
    <w:name w:val="annotation reference"/>
    <w:basedOn w:val="738"/>
    <w:uiPriority w:val="99"/>
    <w:semiHidden/>
    <w:unhideWhenUsed/>
    <w:rPr>
      <w:sz w:val="16"/>
      <w:szCs w:val="16"/>
    </w:rPr>
  </w:style>
  <w:style w:type="paragraph" w:styleId="1087">
    <w:name w:val="annotation text"/>
    <w:basedOn w:val="737"/>
    <w:link w:val="1088"/>
    <w:uiPriority w:val="99"/>
    <w:unhideWhenUsed/>
    <w:rPr>
      <w:sz w:val="20"/>
      <w:szCs w:val="20"/>
    </w:rPr>
  </w:style>
  <w:style w:type="character" w:styleId="1088" w:customStyle="1">
    <w:name w:val="Текст примечания Знак"/>
    <w:basedOn w:val="738"/>
    <w:link w:val="1087"/>
    <w:uiPriority w:val="99"/>
    <w:rPr>
      <w:rFonts w:ascii="Times New Roman" w:hAnsi="Times New Roman" w:cs="Times New Roman"/>
      <w:sz w:val="20"/>
      <w:szCs w:val="20"/>
      <w:lang w:eastAsia="ru-RU"/>
    </w:rPr>
  </w:style>
  <w:style w:type="paragraph" w:styleId="1089">
    <w:name w:val="annotation subject"/>
    <w:basedOn w:val="1087"/>
    <w:next w:val="1087"/>
    <w:link w:val="1090"/>
    <w:uiPriority w:val="99"/>
    <w:semiHidden/>
    <w:unhideWhenUsed/>
    <w:rPr>
      <w:b/>
      <w:bCs/>
    </w:rPr>
  </w:style>
  <w:style w:type="character" w:styleId="1090" w:customStyle="1">
    <w:name w:val="Тема примечания Знак"/>
    <w:basedOn w:val="1088"/>
    <w:link w:val="1089"/>
    <w:uiPriority w:val="99"/>
    <w:semiHidden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1091" w:customStyle="1">
    <w:name w:val="Default"/>
    <w:pPr>
      <w:spacing w:after="0" w:line="240" w:lineRule="auto"/>
    </w:pPr>
    <w:rPr>
      <w:rFonts w:ascii="Times New Roman" w:hAnsi="Times New Roman" w:cs="Times New Roman" w:eastAsiaTheme="minorHAnsi"/>
      <w:color w:val="000000"/>
      <w:sz w:val="24"/>
      <w:szCs w:val="24"/>
    </w:rPr>
  </w:style>
  <w:style w:type="character" w:styleId="1092" w:customStyle="1">
    <w:name w:val="Нет"/>
    <w:qFormat/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header" Target="header4.xml" /><Relationship Id="rId13" Type="http://schemas.openxmlformats.org/officeDocument/2006/relationships/footer" Target="footer1.xml" /><Relationship Id="rId14" Type="http://schemas.openxmlformats.org/officeDocument/2006/relationships/footer" Target="footer2.xml" /><Relationship Id="rId15" Type="http://schemas.openxmlformats.org/officeDocument/2006/relationships/customXml" Target="../customXml/item1.xml" /><Relationship Id="rId16" Type="http://schemas.openxmlformats.org/officeDocument/2006/relationships/image" Target="media/image1.png"/><Relationship Id="rId17" Type="http://schemas.openxmlformats.org/officeDocument/2006/relationships/image" Target="media/media1.svg"/><Relationship Id="rId18" Type="http://schemas.openxmlformats.org/officeDocument/2006/relationships/hyperlink" Target="consultantplus://offline/ref=1DAC9FE1A186FD481EC8E3C0708DED3BCBECC76ABCEF399C1A5B3D44DEE01232E0CAD157CF9D975BAD209FAEFE8EA1A083B59359F6eFX8P" TargetMode="External"/><Relationship Id="rId19" Type="http://schemas.openxmlformats.org/officeDocument/2006/relationships/image" Target="media/image2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_rels/header4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26D98AD-E5B0-421E-9473-42C3A19C8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Р7-Офис/2025.4.1.1604</Application>
  <Company>Hewlett-Packard Company</Company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magomz</dc:creator>
  <cp:lastModifiedBy>s.v.shaposhnikova</cp:lastModifiedBy>
  <cp:revision>48</cp:revision>
  <dcterms:created xsi:type="dcterms:W3CDTF">2026-04-07T14:15:00Z</dcterms:created>
  <dcterms:modified xsi:type="dcterms:W3CDTF">2026-04-15T12:52:26Z</dcterms:modified>
</cp:coreProperties>
</file>